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DD1519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01F89" w:rsidRDefault="00F01F89" w:rsidP="00F01F89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</w:t>
      </w:r>
      <w:r w:rsidR="00DD1519">
        <w:rPr>
          <w:rFonts w:ascii="Times New Roman" w:hAnsi="Times New Roman" w:cs="Times New Roman"/>
          <w:sz w:val="24"/>
          <w:szCs w:val="24"/>
        </w:rPr>
        <w:t xml:space="preserve">стов лесного хозяйства» в лице 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DD1519">
        <w:rPr>
          <w:rFonts w:ascii="Times New Roman" w:hAnsi="Times New Roman" w:cs="Times New Roman"/>
          <w:sz w:val="24"/>
          <w:szCs w:val="24"/>
        </w:rPr>
        <w:t xml:space="preserve">Журавского Александра </w:t>
      </w:r>
      <w:proofErr w:type="spellStart"/>
      <w:r w:rsidR="00DD1519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="00DD1519">
        <w:rPr>
          <w:rFonts w:ascii="Times New Roman" w:hAnsi="Times New Roman" w:cs="Times New Roman"/>
          <w:sz w:val="24"/>
          <w:szCs w:val="24"/>
        </w:rPr>
        <w:t xml:space="preserve">, </w:t>
      </w:r>
      <w:r w:rsidR="00CB6463" w:rsidRPr="00AE00C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Учреждение образования, с одной стороны, гражданин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454863">
        <w:rPr>
          <w:b/>
        </w:rPr>
        <w:t xml:space="preserve">инженеров по </w:t>
      </w:r>
      <w:r w:rsidR="00CE789E">
        <w:rPr>
          <w:b/>
        </w:rPr>
        <w:t>АСУП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CE789E">
        <w:t>Автоматизированные системы управления лесным хозяйством</w:t>
      </w:r>
      <w:r w:rsidR="008224FE" w:rsidRPr="00AE00C9">
        <w:t>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789E">
        <w:rPr>
          <w:rFonts w:ascii="Times New Roman" w:hAnsi="Times New Roman" w:cs="Times New Roman"/>
          <w:b/>
          <w:sz w:val="24"/>
          <w:szCs w:val="24"/>
        </w:rPr>
        <w:t>22.07</w:t>
      </w:r>
      <w:r w:rsidR="00F01F89">
        <w:rPr>
          <w:rFonts w:ascii="Times New Roman" w:hAnsi="Times New Roman" w:cs="Times New Roman"/>
          <w:b/>
          <w:sz w:val="24"/>
          <w:szCs w:val="24"/>
        </w:rPr>
        <w:t>.</w:t>
      </w:r>
      <w:r w:rsidR="00FB3488">
        <w:rPr>
          <w:rFonts w:ascii="Times New Roman" w:hAnsi="Times New Roman" w:cs="Times New Roman"/>
          <w:b/>
          <w:sz w:val="24"/>
          <w:szCs w:val="24"/>
        </w:rPr>
        <w:t>2019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B3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89E">
        <w:rPr>
          <w:rFonts w:ascii="Times New Roman" w:hAnsi="Times New Roman" w:cs="Times New Roman"/>
          <w:b/>
          <w:sz w:val="24"/>
          <w:szCs w:val="24"/>
        </w:rPr>
        <w:t>26.07.</w:t>
      </w:r>
      <w:r w:rsidR="00FB3488">
        <w:rPr>
          <w:rFonts w:ascii="Times New Roman" w:hAnsi="Times New Roman" w:cs="Times New Roman"/>
          <w:b/>
          <w:sz w:val="24"/>
          <w:szCs w:val="24"/>
        </w:rPr>
        <w:t>2019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EE57F5">
        <w:rPr>
          <w:rFonts w:ascii="Times New Roman" w:hAnsi="Times New Roman" w:cs="Times New Roman"/>
          <w:b/>
          <w:sz w:val="24"/>
          <w:szCs w:val="24"/>
        </w:rPr>
        <w:t>231</w:t>
      </w:r>
      <w:r w:rsidR="0074395A">
        <w:rPr>
          <w:rFonts w:ascii="Times New Roman" w:hAnsi="Times New Roman" w:cs="Times New Roman"/>
          <w:b/>
          <w:sz w:val="24"/>
          <w:szCs w:val="24"/>
        </w:rPr>
        <w:t>,</w:t>
      </w:r>
      <w:r w:rsidR="00EE57F5">
        <w:rPr>
          <w:rFonts w:ascii="Times New Roman" w:hAnsi="Times New Roman" w:cs="Times New Roman"/>
          <w:b/>
          <w:sz w:val="24"/>
          <w:szCs w:val="24"/>
        </w:rPr>
        <w:t xml:space="preserve">74 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>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EE57F5">
        <w:rPr>
          <w:rFonts w:ascii="Times New Roman" w:hAnsi="Times New Roman" w:cs="Times New Roman"/>
          <w:b/>
          <w:sz w:val="24"/>
          <w:szCs w:val="24"/>
        </w:rPr>
        <w:t>двести тридцать один</w:t>
      </w:r>
      <w:r w:rsidR="00032161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EE57F5">
        <w:rPr>
          <w:rFonts w:ascii="Times New Roman" w:hAnsi="Times New Roman" w:cs="Times New Roman"/>
          <w:b/>
          <w:sz w:val="24"/>
          <w:szCs w:val="24"/>
        </w:rPr>
        <w:t>ь, 74 коп</w:t>
      </w:r>
      <w:r w:rsidR="007C37BD">
        <w:rPr>
          <w:rFonts w:ascii="Times New Roman" w:hAnsi="Times New Roman" w:cs="Times New Roman"/>
          <w:b/>
          <w:sz w:val="24"/>
          <w:szCs w:val="24"/>
        </w:rPr>
        <w:t>ейки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1244A4" w:rsidP="00975457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244A4" w:rsidRDefault="001244A4" w:rsidP="0097545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1B0362" w:rsidRDefault="001B0362" w:rsidP="00975457">
            <w:pPr>
              <w:spacing w:line="260" w:lineRule="exact"/>
              <w:jc w:val="both"/>
            </w:pPr>
          </w:p>
          <w:p w:rsidR="001B0362" w:rsidRPr="000E61D6" w:rsidRDefault="001B0362" w:rsidP="00975457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EE57F5" w:rsidP="00F01F89">
            <w:r>
              <w:t>Директор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032161">
            <w:pPr>
              <w:jc w:val="both"/>
            </w:pPr>
          </w:p>
          <w:p w:rsidR="00032161" w:rsidRPr="000E61D6" w:rsidRDefault="009C465D" w:rsidP="00032161">
            <w:pPr>
              <w:jc w:val="both"/>
            </w:pPr>
            <w:r>
              <w:t>__________</w:t>
            </w:r>
            <w:r w:rsidR="00EE57F5">
              <w:t xml:space="preserve">                   А.Б.Журавский</w:t>
            </w:r>
            <w:r w:rsidR="00EE57F5">
              <w:rPr>
                <w:vertAlign w:val="superscript"/>
              </w:rPr>
              <w:t xml:space="preserve">           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A2CE5"/>
    <w:rsid w:val="000A4F73"/>
    <w:rsid w:val="000B570A"/>
    <w:rsid w:val="000C0396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068E"/>
    <w:rsid w:val="001624E6"/>
    <w:rsid w:val="001838D4"/>
    <w:rsid w:val="001858BB"/>
    <w:rsid w:val="0018595F"/>
    <w:rsid w:val="00193759"/>
    <w:rsid w:val="001B0362"/>
    <w:rsid w:val="001B3DBC"/>
    <w:rsid w:val="001C03DC"/>
    <w:rsid w:val="001E7AE2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45EE7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5329"/>
    <w:rsid w:val="00454863"/>
    <w:rsid w:val="00454D82"/>
    <w:rsid w:val="00473FED"/>
    <w:rsid w:val="00484092"/>
    <w:rsid w:val="00486943"/>
    <w:rsid w:val="004A2D1B"/>
    <w:rsid w:val="004B2F48"/>
    <w:rsid w:val="004B3FA2"/>
    <w:rsid w:val="004E4E5D"/>
    <w:rsid w:val="004F090C"/>
    <w:rsid w:val="00502422"/>
    <w:rsid w:val="005225DC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A5433"/>
    <w:rsid w:val="005D2C87"/>
    <w:rsid w:val="005D5E9B"/>
    <w:rsid w:val="005E70D7"/>
    <w:rsid w:val="005F39A7"/>
    <w:rsid w:val="006505D5"/>
    <w:rsid w:val="00651829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28AA"/>
    <w:rsid w:val="0074395A"/>
    <w:rsid w:val="00760655"/>
    <w:rsid w:val="007806FA"/>
    <w:rsid w:val="0078306C"/>
    <w:rsid w:val="00797CFB"/>
    <w:rsid w:val="007A7986"/>
    <w:rsid w:val="007B33DA"/>
    <w:rsid w:val="007C37BD"/>
    <w:rsid w:val="007D7EED"/>
    <w:rsid w:val="007F015B"/>
    <w:rsid w:val="007F1FF7"/>
    <w:rsid w:val="008224FE"/>
    <w:rsid w:val="00834FCF"/>
    <w:rsid w:val="00845665"/>
    <w:rsid w:val="008521E4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71FF1"/>
    <w:rsid w:val="00975457"/>
    <w:rsid w:val="0098717F"/>
    <w:rsid w:val="009930A4"/>
    <w:rsid w:val="00996658"/>
    <w:rsid w:val="009B2783"/>
    <w:rsid w:val="009C2E5A"/>
    <w:rsid w:val="009C465D"/>
    <w:rsid w:val="009D4B94"/>
    <w:rsid w:val="009E21C0"/>
    <w:rsid w:val="009F6401"/>
    <w:rsid w:val="00A57CC6"/>
    <w:rsid w:val="00A62225"/>
    <w:rsid w:val="00A76ADA"/>
    <w:rsid w:val="00A851C4"/>
    <w:rsid w:val="00AA5C74"/>
    <w:rsid w:val="00AB3E45"/>
    <w:rsid w:val="00AB5488"/>
    <w:rsid w:val="00AC2DBD"/>
    <w:rsid w:val="00AD2E59"/>
    <w:rsid w:val="00AF16F9"/>
    <w:rsid w:val="00B05DD7"/>
    <w:rsid w:val="00B138D5"/>
    <w:rsid w:val="00B279EE"/>
    <w:rsid w:val="00B32C2B"/>
    <w:rsid w:val="00B53FCC"/>
    <w:rsid w:val="00B565E2"/>
    <w:rsid w:val="00B70CBA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463"/>
    <w:rsid w:val="00CB6D3F"/>
    <w:rsid w:val="00CD7452"/>
    <w:rsid w:val="00CE325A"/>
    <w:rsid w:val="00CE3B26"/>
    <w:rsid w:val="00CE789E"/>
    <w:rsid w:val="00CF579B"/>
    <w:rsid w:val="00D221F3"/>
    <w:rsid w:val="00D22231"/>
    <w:rsid w:val="00D22ADE"/>
    <w:rsid w:val="00D5155D"/>
    <w:rsid w:val="00D612EA"/>
    <w:rsid w:val="00D67D54"/>
    <w:rsid w:val="00D90551"/>
    <w:rsid w:val="00DD1519"/>
    <w:rsid w:val="00DD4C91"/>
    <w:rsid w:val="00DE2491"/>
    <w:rsid w:val="00DF2013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9215E"/>
    <w:rsid w:val="00EA45BA"/>
    <w:rsid w:val="00EA5AEE"/>
    <w:rsid w:val="00ED1A26"/>
    <w:rsid w:val="00ED5927"/>
    <w:rsid w:val="00EE57F5"/>
    <w:rsid w:val="00EF11D8"/>
    <w:rsid w:val="00EF3795"/>
    <w:rsid w:val="00EF6862"/>
    <w:rsid w:val="00F01F89"/>
    <w:rsid w:val="00F02AE3"/>
    <w:rsid w:val="00F04A96"/>
    <w:rsid w:val="00F065D6"/>
    <w:rsid w:val="00F100BE"/>
    <w:rsid w:val="00F20CF3"/>
    <w:rsid w:val="00F265F9"/>
    <w:rsid w:val="00F52A96"/>
    <w:rsid w:val="00F52E1A"/>
    <w:rsid w:val="00F555BF"/>
    <w:rsid w:val="00F64BDA"/>
    <w:rsid w:val="00F73016"/>
    <w:rsid w:val="00F96C7A"/>
    <w:rsid w:val="00FA0571"/>
    <w:rsid w:val="00FB3488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18E3-6357-4B2D-B65E-EA2ED5C0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8525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2</cp:revision>
  <cp:lastPrinted>2019-05-31T10:03:00Z</cp:lastPrinted>
  <dcterms:created xsi:type="dcterms:W3CDTF">2019-07-18T12:33:00Z</dcterms:created>
  <dcterms:modified xsi:type="dcterms:W3CDTF">2019-07-18T12:33:00Z</dcterms:modified>
</cp:coreProperties>
</file>