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B66FC6">
        <w:rPr>
          <w:rFonts w:ascii="Times New Roman" w:hAnsi="Times New Roman" w:cs="Times New Roman"/>
          <w:bCs/>
          <w:sz w:val="24"/>
          <w:szCs w:val="24"/>
          <w:lang w:val="be-BY"/>
        </w:rPr>
        <w:t>85</w:t>
      </w:r>
      <w:r w:rsidR="005A4D3E">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B66FC6">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________</w:t>
      </w:r>
      <w:r w:rsidR="005A4D3E">
        <w:rPr>
          <w:rFonts w:ascii="Times New Roman" w:hAnsi="Times New Roman" w:cs="Times New Roman"/>
          <w:sz w:val="24"/>
          <w:szCs w:val="24"/>
          <w:lang w:val="be-BY"/>
        </w:rPr>
        <w:t>.2024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EF5854" w:rsidRDefault="00871CF1" w:rsidP="005377D1">
      <w:pPr>
        <w:pStyle w:val="ConsPlusNonformat"/>
        <w:spacing w:line="220" w:lineRule="exact"/>
        <w:ind w:firstLine="459"/>
        <w:jc w:val="both"/>
        <w:rPr>
          <w:rFonts w:ascii="Times New Roman" w:hAnsi="Times New Roman" w:cs="Times New Roman"/>
          <w:sz w:val="24"/>
          <w:szCs w:val="24"/>
          <w:lang w:val="be-BY"/>
        </w:rPr>
      </w:pPr>
      <w:r w:rsidRPr="00871CF1">
        <w:rPr>
          <w:rFonts w:ascii="Times New Roman" w:hAnsi="Times New Roman"/>
          <w:sz w:val="24"/>
          <w:szCs w:val="24"/>
        </w:rPr>
        <w:t xml:space="preserve">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 в лице </w:t>
      </w:r>
      <w:r w:rsidR="005377D1">
        <w:rPr>
          <w:rFonts w:ascii="Times New Roman" w:hAnsi="Times New Roman"/>
          <w:sz w:val="24"/>
          <w:szCs w:val="24"/>
        </w:rPr>
        <w:t xml:space="preserve">заместителя директора по учебно-производственной и </w:t>
      </w:r>
      <w:r w:rsidR="00A0709F">
        <w:rPr>
          <w:rFonts w:ascii="Times New Roman" w:hAnsi="Times New Roman"/>
          <w:sz w:val="24"/>
          <w:szCs w:val="24"/>
        </w:rPr>
        <w:t xml:space="preserve">учебной </w:t>
      </w:r>
      <w:r w:rsidR="005377D1">
        <w:rPr>
          <w:rFonts w:ascii="Times New Roman" w:hAnsi="Times New Roman"/>
          <w:sz w:val="24"/>
          <w:szCs w:val="24"/>
        </w:rPr>
        <w:t>работе Мороза Виктора Ивановича</w:t>
      </w:r>
      <w:r w:rsidRPr="00871CF1">
        <w:rPr>
          <w:rFonts w:ascii="Times New Roman" w:hAnsi="Times New Roman"/>
          <w:sz w:val="24"/>
          <w:szCs w:val="24"/>
        </w:rPr>
        <w:t xml:space="preserve">, действующего на основании Доверенности от </w:t>
      </w:r>
      <w:r w:rsidR="005377D1">
        <w:rPr>
          <w:rFonts w:ascii="Times New Roman" w:hAnsi="Times New Roman"/>
          <w:sz w:val="24"/>
          <w:szCs w:val="24"/>
        </w:rPr>
        <w:t>23.04.2024 № 08-18</w:t>
      </w:r>
      <w:r w:rsidRPr="00871CF1">
        <w:rPr>
          <w:rFonts w:ascii="Times New Roman" w:hAnsi="Times New Roman"/>
          <w:sz w:val="24"/>
          <w:szCs w:val="24"/>
        </w:rPr>
        <w:t>/</w:t>
      </w:r>
      <w:r w:rsidR="005377D1">
        <w:rPr>
          <w:rFonts w:ascii="Times New Roman" w:hAnsi="Times New Roman"/>
          <w:sz w:val="24"/>
          <w:szCs w:val="24"/>
        </w:rPr>
        <w:t>21</w:t>
      </w:r>
      <w:r>
        <w:rPr>
          <w:rFonts w:ascii="Times New Roman" w:hAnsi="Times New Roman"/>
          <w:sz w:val="24"/>
          <w:szCs w:val="24"/>
        </w:rPr>
        <w:t>,</w:t>
      </w:r>
      <w:r w:rsidR="00EF5854" w:rsidRPr="009F15B6">
        <w:rPr>
          <w:rFonts w:ascii="Times New Roman" w:hAnsi="Times New Roman"/>
          <w:sz w:val="24"/>
          <w:szCs w:val="24"/>
        </w:rPr>
        <w:t xml:space="preserve"> им</w:t>
      </w:r>
      <w:r w:rsidR="00EF5854">
        <w:rPr>
          <w:rFonts w:ascii="Times New Roman" w:hAnsi="Times New Roman"/>
          <w:sz w:val="24"/>
          <w:szCs w:val="24"/>
        </w:rPr>
        <w:t>енуемое в дальнейшем Исполнитель, с одной стороны, и гражданин</w:t>
      </w:r>
      <w:r w:rsidR="00EF5854">
        <w:rPr>
          <w:rFonts w:ascii="Times New Roman" w:hAnsi="Times New Roman" w:cs="Times New Roman"/>
          <w:sz w:val="24"/>
          <w:szCs w:val="24"/>
        </w:rPr>
        <w:t xml:space="preserve"> </w:t>
      </w:r>
      <w:r w:rsidR="00EF5854">
        <w:rPr>
          <w:rFonts w:ascii="Times New Roman" w:hAnsi="Times New Roman" w:cs="Times New Roman"/>
          <w:sz w:val="24"/>
          <w:szCs w:val="24"/>
          <w:lang w:val="be-BY"/>
        </w:rPr>
        <w:t>_____________________________________________________________________________________</w:t>
      </w:r>
    </w:p>
    <w:p w:rsidR="0006707F" w:rsidRDefault="00EF5854" w:rsidP="00EF5854">
      <w:pPr>
        <w:pStyle w:val="ConsPlusNonformat"/>
        <w:spacing w:line="20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 xml:space="preserve"> </w:t>
      </w:r>
      <w:r w:rsidR="0058057C">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pPr>
        <w:pStyle w:val="ConsPlusNonformat"/>
        <w:spacing w:line="20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pPr>
        <w:pStyle w:val="ConsPlusNonformat"/>
        <w:spacing w:line="20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pPr>
        <w:pStyle w:val="ConsPlusNonformat"/>
        <w:spacing w:line="20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EF5854" w:rsidRPr="00EF5854" w:rsidRDefault="00EF5854" w:rsidP="000E35B1">
      <w:pPr>
        <w:pStyle w:val="ConsPlusNonformat"/>
        <w:spacing w:line="200" w:lineRule="exact"/>
        <w:ind w:firstLine="708"/>
        <w:jc w:val="both"/>
        <w:rPr>
          <w:rFonts w:ascii="Times New Roman" w:hAnsi="Times New Roman"/>
          <w:sz w:val="24"/>
          <w:szCs w:val="24"/>
        </w:rPr>
      </w:pPr>
      <w:bookmarkStart w:id="0" w:name="Par2289"/>
      <w:bookmarkEnd w:id="0"/>
      <w:r w:rsidRPr="00EF5854">
        <w:rPr>
          <w:rFonts w:ascii="Times New Roman" w:hAnsi="Times New Roman"/>
          <w:sz w:val="24"/>
          <w:szCs w:val="24"/>
        </w:rPr>
        <w:t xml:space="preserve">1. Предметом договора является оказание следующих платных услуг в сфере образования: образовательная программа </w:t>
      </w:r>
      <w:r w:rsidR="000E35B1">
        <w:rPr>
          <w:rFonts w:ascii="Times New Roman" w:hAnsi="Times New Roman"/>
          <w:sz w:val="24"/>
          <w:szCs w:val="24"/>
        </w:rPr>
        <w:t>повышения квалификации</w:t>
      </w:r>
      <w:r w:rsidRPr="00EF5854">
        <w:rPr>
          <w:rFonts w:ascii="Times New Roman" w:hAnsi="Times New Roman"/>
          <w:sz w:val="24"/>
          <w:szCs w:val="24"/>
        </w:rPr>
        <w:t xml:space="preserve"> руководящих работников и специалистов по учебной программе «</w:t>
      </w:r>
      <w:r w:rsidR="000E35B1">
        <w:rPr>
          <w:rFonts w:ascii="Times New Roman" w:hAnsi="Times New Roman"/>
          <w:sz w:val="24"/>
          <w:szCs w:val="24"/>
        </w:rPr>
        <w:t xml:space="preserve">Организация </w:t>
      </w:r>
      <w:r w:rsidR="00B66FC6">
        <w:rPr>
          <w:rFonts w:ascii="Times New Roman" w:hAnsi="Times New Roman"/>
          <w:sz w:val="24"/>
          <w:szCs w:val="24"/>
        </w:rPr>
        <w:t>охраны труда на предприятиях отрасли лесного хозяйства</w:t>
      </w:r>
      <w:r w:rsidRPr="00EF5854">
        <w:rPr>
          <w:rFonts w:ascii="Times New Roman" w:hAnsi="Times New Roman"/>
          <w:sz w:val="24"/>
          <w:szCs w:val="24"/>
        </w:rPr>
        <w:t xml:space="preserve">». </w:t>
      </w:r>
    </w:p>
    <w:p w:rsidR="00EF5854" w:rsidRPr="00EF5854" w:rsidRDefault="00EF5854" w:rsidP="00EF5854">
      <w:pPr>
        <w:pStyle w:val="ConsPlusNonformat"/>
        <w:spacing w:line="200" w:lineRule="exact"/>
        <w:ind w:firstLine="454"/>
        <w:rPr>
          <w:rFonts w:ascii="Times New Roman" w:hAnsi="Times New Roman"/>
          <w:sz w:val="24"/>
          <w:szCs w:val="24"/>
        </w:rPr>
      </w:pPr>
      <w:r w:rsidRPr="00EF5854">
        <w:rPr>
          <w:rFonts w:ascii="Times New Roman" w:hAnsi="Times New Roman"/>
          <w:sz w:val="24"/>
          <w:szCs w:val="24"/>
        </w:rPr>
        <w:t>2. Форма получения образования – очная (дневная).</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A0709F">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Pr>
          <w:rFonts w:ascii="Times New Roman" w:hAnsi="Times New Roman" w:cs="Times New Roman"/>
          <w:sz w:val="24"/>
          <w:szCs w:val="24"/>
        </w:rPr>
        <w:t xml:space="preserve"> по </w:t>
      </w:r>
      <w:r w:rsidR="000E35B1">
        <w:rPr>
          <w:rFonts w:ascii="Times New Roman" w:hAnsi="Times New Roman" w:cs="Times New Roman"/>
          <w:sz w:val="24"/>
          <w:szCs w:val="24"/>
          <w:lang w:val="be-BY"/>
        </w:rPr>
        <w:t>03.05</w:t>
      </w:r>
      <w:r w:rsidR="005A4D3E">
        <w:rPr>
          <w:rFonts w:ascii="Times New Roman" w:hAnsi="Times New Roman" w:cs="Times New Roman"/>
          <w:sz w:val="24"/>
          <w:szCs w:val="24"/>
          <w:lang w:val="be-BY"/>
        </w:rPr>
        <w:t>.2024</w:t>
      </w:r>
      <w:r>
        <w:rPr>
          <w:rFonts w:ascii="Times New Roman" w:hAnsi="Times New Roman" w:cs="Times New Roman"/>
          <w:sz w:val="24"/>
          <w:szCs w:val="24"/>
        </w:rPr>
        <w:t>.</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0E35B1">
        <w:rPr>
          <w:rFonts w:ascii="Times New Roman" w:hAnsi="Times New Roman" w:cs="Times New Roman"/>
          <w:sz w:val="24"/>
          <w:szCs w:val="24"/>
          <w:lang w:val="be-BY"/>
        </w:rPr>
        <w:t>29</w:t>
      </w:r>
      <w:r w:rsidR="005A4D3E">
        <w:rPr>
          <w:rFonts w:ascii="Times New Roman" w:hAnsi="Times New Roman" w:cs="Times New Roman"/>
          <w:sz w:val="24"/>
          <w:szCs w:val="24"/>
          <w:lang w:val="be-BY"/>
        </w:rPr>
        <w:t>.04.2024</w:t>
      </w:r>
      <w:r>
        <w:rPr>
          <w:rFonts w:ascii="Times New Roman" w:hAnsi="Times New Roman" w:cs="Times New Roman"/>
          <w:sz w:val="24"/>
          <w:szCs w:val="24"/>
        </w:rPr>
        <w:t>.</w:t>
      </w:r>
    </w:p>
    <w:p w:rsidR="0006707F" w:rsidRPr="00B66FC6"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0E35B1" w:rsidRPr="00B66FC6">
        <w:rPr>
          <w:rFonts w:ascii="Times New Roman" w:hAnsi="Times New Roman" w:cs="Times New Roman"/>
          <w:sz w:val="24"/>
          <w:szCs w:val="24"/>
        </w:rPr>
        <w:t>2</w:t>
      </w:r>
      <w:r w:rsidR="00B66FC6" w:rsidRPr="00B66FC6">
        <w:rPr>
          <w:rFonts w:ascii="Times New Roman" w:hAnsi="Times New Roman" w:cs="Times New Roman"/>
          <w:sz w:val="24"/>
          <w:szCs w:val="24"/>
        </w:rPr>
        <w:t>29</w:t>
      </w:r>
      <w:r w:rsidR="00EF5854" w:rsidRPr="00B66FC6">
        <w:rPr>
          <w:rFonts w:ascii="Times New Roman" w:hAnsi="Times New Roman" w:cs="Times New Roman"/>
          <w:sz w:val="24"/>
          <w:szCs w:val="24"/>
        </w:rPr>
        <w:t xml:space="preserve">.00 </w:t>
      </w:r>
      <w:r w:rsidRPr="00B66FC6">
        <w:rPr>
          <w:rFonts w:ascii="Times New Roman" w:hAnsi="Times New Roman" w:cs="Times New Roman"/>
          <w:sz w:val="24"/>
          <w:szCs w:val="24"/>
        </w:rPr>
        <w:t>руб. (</w:t>
      </w:r>
      <w:r w:rsidR="000E35B1" w:rsidRPr="00B66FC6">
        <w:rPr>
          <w:rFonts w:ascii="Times New Roman" w:hAnsi="Times New Roman" w:cs="Times New Roman"/>
          <w:sz w:val="24"/>
          <w:szCs w:val="24"/>
        </w:rPr>
        <w:t xml:space="preserve">двести </w:t>
      </w:r>
      <w:r w:rsidR="00B66FC6" w:rsidRPr="00B66FC6">
        <w:rPr>
          <w:rFonts w:ascii="Times New Roman" w:hAnsi="Times New Roman" w:cs="Times New Roman"/>
          <w:sz w:val="24"/>
          <w:szCs w:val="24"/>
        </w:rPr>
        <w:t>двадцать девять</w:t>
      </w:r>
      <w:r w:rsidR="006939B5" w:rsidRPr="00B66FC6">
        <w:rPr>
          <w:rFonts w:ascii="Times New Roman" w:hAnsi="Times New Roman" w:cs="Times New Roman"/>
          <w:sz w:val="24"/>
          <w:szCs w:val="24"/>
        </w:rPr>
        <w:t xml:space="preserve"> </w:t>
      </w:r>
      <w:r w:rsidR="00EF5854" w:rsidRPr="00B66FC6">
        <w:rPr>
          <w:rFonts w:ascii="Times New Roman" w:hAnsi="Times New Roman" w:cs="Times New Roman"/>
          <w:sz w:val="24"/>
          <w:szCs w:val="24"/>
        </w:rPr>
        <w:t>белорусских рубл</w:t>
      </w:r>
      <w:r w:rsidR="00B66FC6" w:rsidRPr="00B66FC6">
        <w:rPr>
          <w:rFonts w:ascii="Times New Roman" w:hAnsi="Times New Roman" w:cs="Times New Roman"/>
          <w:sz w:val="24"/>
          <w:szCs w:val="24"/>
        </w:rPr>
        <w:t>ей</w:t>
      </w:r>
      <w:r w:rsidRPr="00B66FC6">
        <w:rPr>
          <w:rFonts w:ascii="Times New Roman" w:hAnsi="Times New Roman" w:cs="Times New Roman"/>
          <w:sz w:val="24"/>
          <w:szCs w:val="24"/>
        </w:rPr>
        <w:t>, 00 копеек).</w:t>
      </w:r>
    </w:p>
    <w:p w:rsidR="0006707F" w:rsidRDefault="0058057C">
      <w:pPr>
        <w:pStyle w:val="ConsPlusNonformat"/>
        <w:spacing w:line="200" w:lineRule="exact"/>
        <w:ind w:firstLine="454"/>
        <w:jc w:val="both"/>
        <w:rPr>
          <w:rFonts w:ascii="Times New Roman" w:hAnsi="Times New Roman" w:cs="Times New Roman"/>
          <w:sz w:val="24"/>
          <w:szCs w:val="24"/>
        </w:rPr>
      </w:pPr>
      <w:bookmarkStart w:id="1" w:name="Par2310"/>
      <w:bookmarkEnd w:id="1"/>
      <w:r w:rsidRPr="00B66FC6">
        <w:rPr>
          <w:rFonts w:ascii="Times New Roman" w:hAnsi="Times New Roman" w:cs="Times New Roman"/>
          <w:sz w:val="24"/>
          <w:szCs w:val="24"/>
        </w:rPr>
        <w:t>6. Порядок изменения стоимости обучения.</w:t>
      </w:r>
      <w:bookmarkStart w:id="2" w:name="_GoBack"/>
      <w:bookmarkEnd w:id="2"/>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pPr>
        <w:pStyle w:val="ConsPlusNonformat"/>
        <w:spacing w:line="200" w:lineRule="exact"/>
        <w:ind w:firstLine="454"/>
        <w:jc w:val="both"/>
        <w:rPr>
          <w:rFonts w:ascii="Times New Roman" w:hAnsi="Times New Roman" w:cs="Times New Roman"/>
          <w:sz w:val="24"/>
          <w:szCs w:val="24"/>
        </w:rPr>
      </w:pPr>
      <w:bookmarkStart w:id="3" w:name="Par2323"/>
      <w:bookmarkEnd w:id="3"/>
      <w:r>
        <w:rPr>
          <w:rFonts w:ascii="Times New Roman" w:hAnsi="Times New Roman" w:cs="Times New Roman"/>
          <w:sz w:val="24"/>
          <w:szCs w:val="24"/>
        </w:rPr>
        <w:t>7. Порядок расчетов за обучение.</w:t>
      </w:r>
    </w:p>
    <w:p w:rsidR="0006707F" w:rsidRDefault="0058057C">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lastRenderedPageBreak/>
        <w:t>10.2. Подтверждением выполнения сторонами своих обязательств является подписание в течение 10 календарных дней по окончании обучения Заказчика акта приемки-сдачи оказанных 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5A4D3E">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BE78A6">
      <w:pPr>
        <w:pStyle w:val="ConsPlusNonformat"/>
        <w:spacing w:line="20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5A4D3E">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выразившегося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5A4D3E">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BE78A6">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171EFB">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425"/>
        <w:gridCol w:w="244"/>
        <w:gridCol w:w="2992"/>
        <w:gridCol w:w="427"/>
        <w:gridCol w:w="3230"/>
      </w:tblGrid>
      <w:tr w:rsidR="00171EFB" w:rsidTr="007C005C">
        <w:tc>
          <w:tcPr>
            <w:tcW w:w="1660" w:type="pct"/>
            <w:vMerge w:val="restart"/>
            <w:tcBorders>
              <w:top w:val="nil"/>
              <w:right w:val="nil"/>
            </w:tcBorders>
          </w:tcPr>
          <w:p w:rsidR="00171EFB" w:rsidRPr="00933585" w:rsidRDefault="00171EFB" w:rsidP="00171EFB">
            <w:pPr>
              <w:pStyle w:val="ConsPlusNormal"/>
              <w:spacing w:line="210" w:lineRule="exact"/>
              <w:jc w:val="center"/>
              <w:rPr>
                <w:rFonts w:ascii="Times New Roman" w:hAnsi="Times New Roman" w:cs="Times New Roman"/>
              </w:rPr>
            </w:pPr>
            <w:r w:rsidRPr="00933585">
              <w:rPr>
                <w:rFonts w:ascii="Times New Roman" w:hAnsi="Times New Roman" w:cs="Times New Roman"/>
              </w:rPr>
              <w:t>Исполнитель</w:t>
            </w:r>
          </w:p>
          <w:p w:rsidR="00871CF1" w:rsidRPr="00C71958" w:rsidRDefault="00871CF1"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Учреждение дополнительного образования взрослых «Центр подготовки, повышения квалификации и переподготовки кадров Министерства лесного хозяйства Республики Беларусь»</w:t>
            </w:r>
          </w:p>
          <w:p w:rsidR="00171EFB" w:rsidRPr="00C71958" w:rsidRDefault="00171EFB" w:rsidP="00871CF1">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8"/>
                <w:sz w:val="24"/>
                <w:szCs w:val="24"/>
              </w:rPr>
              <w:t>Местонахождение:</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0"/>
                <w:sz w:val="24"/>
                <w:szCs w:val="24"/>
              </w:rPr>
              <w:t>223031</w:t>
            </w:r>
            <w:r w:rsidRPr="00C71958">
              <w:rPr>
                <w:rFonts w:ascii="Times New Roman" w:hAnsi="Times New Roman" w:cs="Times New Roman"/>
                <w:spacing w:val="-10"/>
                <w:sz w:val="24"/>
                <w:szCs w:val="24"/>
                <w:lang w:val="en-US"/>
              </w:rPr>
              <w:t> </w:t>
            </w:r>
            <w:r w:rsidRPr="00C71958">
              <w:rPr>
                <w:rFonts w:ascii="Times New Roman" w:hAnsi="Times New Roman" w:cs="Times New Roman"/>
                <w:spacing w:val="-18"/>
                <w:sz w:val="24"/>
                <w:szCs w:val="24"/>
              </w:rPr>
              <w:t>Минская</w:t>
            </w:r>
            <w:r w:rsidRPr="00C71958">
              <w:rPr>
                <w:rFonts w:ascii="Times New Roman" w:hAnsi="Times New Roman" w:cs="Times New Roman"/>
                <w:spacing w:val="-10"/>
                <w:sz w:val="24"/>
                <w:szCs w:val="24"/>
              </w:rPr>
              <w:t xml:space="preserve"> обл., Минский р-н, аг. Ждановичи, ул. Парковая 26, +375175660080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Банковские реквизиты:</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 xml:space="preserve">расчетный счет BY22 AKBB 36329000001695600000 Минское областное управление № 500 ОАО «АСБ Беларусбанк», г. Минск, пр-т Дзержинского, 69, к.1, ВІС AKBBBY2Х </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r w:rsidRPr="00C71958">
              <w:rPr>
                <w:rFonts w:ascii="Times New Roman" w:hAnsi="Times New Roman" w:cs="Times New Roman"/>
                <w:spacing w:val="-10"/>
                <w:sz w:val="24"/>
                <w:szCs w:val="24"/>
              </w:rPr>
              <w:t>УНП 690034595 ОКПО 29128844</w:t>
            </w:r>
          </w:p>
          <w:p w:rsidR="00171EFB" w:rsidRPr="00C71958" w:rsidRDefault="00171EFB" w:rsidP="00171EFB">
            <w:pPr>
              <w:pStyle w:val="ConsPlusNormal"/>
              <w:spacing w:line="210" w:lineRule="exact"/>
              <w:jc w:val="both"/>
              <w:rPr>
                <w:rFonts w:ascii="Times New Roman" w:hAnsi="Times New Roman" w:cs="Times New Roman"/>
                <w:spacing w:val="-10"/>
                <w:sz w:val="24"/>
                <w:szCs w:val="24"/>
              </w:rPr>
            </w:pPr>
          </w:p>
          <w:p w:rsidR="00A0709F" w:rsidRPr="00A0709F" w:rsidRDefault="00A0709F" w:rsidP="000E35B1">
            <w:pPr>
              <w:spacing w:after="0" w:line="220" w:lineRule="exact"/>
              <w:rPr>
                <w:rFonts w:ascii="Times New Roman" w:hAnsi="Times New Roman"/>
                <w:sz w:val="24"/>
                <w:szCs w:val="24"/>
              </w:rPr>
            </w:pPr>
            <w:r w:rsidRPr="00A0709F">
              <w:rPr>
                <w:rFonts w:ascii="Times New Roman" w:hAnsi="Times New Roman"/>
                <w:sz w:val="24"/>
                <w:szCs w:val="24"/>
              </w:rPr>
              <w:t>Заместитель директора по учебно-производственной и учебной работе</w:t>
            </w:r>
          </w:p>
          <w:p w:rsidR="00A0709F" w:rsidRPr="00A0709F" w:rsidRDefault="00A0709F" w:rsidP="00A0709F">
            <w:pPr>
              <w:spacing w:after="0" w:line="240" w:lineRule="auto"/>
              <w:rPr>
                <w:rFonts w:ascii="Times New Roman" w:hAnsi="Times New Roman"/>
                <w:sz w:val="24"/>
                <w:szCs w:val="24"/>
              </w:rPr>
            </w:pPr>
          </w:p>
          <w:p w:rsidR="00BE78A6" w:rsidRPr="00933585" w:rsidRDefault="00A0709F" w:rsidP="00A0709F">
            <w:pPr>
              <w:rPr>
                <w:rFonts w:ascii="Times New Roman" w:hAnsi="Times New Roman"/>
              </w:rPr>
            </w:pPr>
            <w:r>
              <w:rPr>
                <w:rFonts w:ascii="Times New Roman" w:hAnsi="Times New Roman"/>
                <w:sz w:val="24"/>
                <w:szCs w:val="24"/>
              </w:rPr>
              <w:t>Мороз В.И.</w:t>
            </w: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50" w:type="pct"/>
            <w:tcBorders>
              <w:top w:val="nil"/>
              <w:left w:val="nil"/>
              <w:bottom w:val="nil"/>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rPr>
              <w:t>Заказчик</w:t>
            </w:r>
          </w:p>
        </w:tc>
        <w:tc>
          <w:tcPr>
            <w:tcW w:w="207"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565" w:type="pct"/>
            <w:tcBorders>
              <w:top w:val="nil"/>
              <w:left w:val="nil"/>
              <w:bottom w:val="nil"/>
            </w:tcBorders>
          </w:tcPr>
          <w:p w:rsidR="00171EFB" w:rsidRPr="00933585" w:rsidRDefault="00171EFB" w:rsidP="00171EFB">
            <w:pPr>
              <w:spacing w:after="0"/>
              <w:jc w:val="center"/>
              <w:rPr>
                <w:rFonts w:ascii="Times New Roman" w:hAnsi="Times New Roman"/>
              </w:rPr>
            </w:pPr>
            <w:r>
              <w:rPr>
                <w:rFonts w:ascii="Times New Roman" w:hAnsi="Times New Roman"/>
              </w:rPr>
              <w:t>Плательщик</w:t>
            </w:r>
          </w:p>
        </w:tc>
      </w:tr>
      <w:tr w:rsidR="00171EFB" w:rsidTr="007C005C">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48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7C005C">
        <w:trPr>
          <w:trHeight w:val="278"/>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50" w:type="pct"/>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6C69F5" w:rsidTr="007C005C">
        <w:trPr>
          <w:trHeight w:val="268"/>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nil"/>
              <w:right w:val="nil"/>
            </w:tcBorders>
          </w:tcPr>
          <w:p w:rsidR="006C69F5" w:rsidRPr="00933585" w:rsidRDefault="006C69F5" w:rsidP="00171EFB">
            <w:pPr>
              <w:spacing w:after="0"/>
              <w:rPr>
                <w:rFonts w:ascii="Times New Roman" w:hAnsi="Times New Roman"/>
              </w:rPr>
            </w:pPr>
            <w:r>
              <w:rPr>
                <w:rFonts w:ascii="Times New Roman" w:hAnsi="Times New Roman"/>
              </w:rPr>
              <w:t>Место жительства:</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tcBorders>
              <w:left w:val="nil"/>
              <w:bottom w:val="single" w:sz="4" w:space="0" w:color="000000" w:themeColor="text1"/>
            </w:tcBorders>
          </w:tcPr>
          <w:p w:rsidR="006C69F5" w:rsidRPr="00933585" w:rsidRDefault="006C69F5" w:rsidP="00171EFB">
            <w:pPr>
              <w:spacing w:after="0"/>
              <w:rPr>
                <w:rFonts w:ascii="Times New Roman" w:hAnsi="Times New Roman"/>
              </w:rPr>
            </w:pPr>
          </w:p>
        </w:tc>
      </w:tr>
      <w:tr w:rsidR="00171EFB" w:rsidTr="007C005C">
        <w:trPr>
          <w:trHeight w:val="285"/>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7C005C">
        <w:trPr>
          <w:trHeight w:val="7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92"/>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6C69F5" w:rsidTr="007C005C">
        <w:trPr>
          <w:trHeight w:val="191"/>
        </w:trPr>
        <w:tc>
          <w:tcPr>
            <w:tcW w:w="1660" w:type="pct"/>
            <w:vMerge/>
            <w:tcBorders>
              <w:right w:val="nil"/>
            </w:tcBorders>
          </w:tcPr>
          <w:p w:rsidR="006C69F5" w:rsidRPr="00933585" w:rsidRDefault="006C69F5" w:rsidP="00171EFB">
            <w:pPr>
              <w:spacing w:after="0"/>
              <w:rPr>
                <w:rFonts w:ascii="Times New Roman" w:hAnsi="Times New Roman"/>
              </w:rPr>
            </w:pPr>
          </w:p>
        </w:tc>
        <w:tc>
          <w:tcPr>
            <w:tcW w:w="118" w:type="pct"/>
            <w:tcBorders>
              <w:top w:val="nil"/>
              <w:left w:val="nil"/>
              <w:bottom w:val="nil"/>
              <w:right w:val="nil"/>
            </w:tcBorders>
          </w:tcPr>
          <w:p w:rsidR="006C69F5" w:rsidRDefault="006C69F5" w:rsidP="00171EFB">
            <w:pPr>
              <w:spacing w:after="0"/>
              <w:rPr>
                <w:rFonts w:ascii="Times New Roman" w:hAnsi="Times New Roman"/>
              </w:rPr>
            </w:pPr>
          </w:p>
        </w:tc>
        <w:tc>
          <w:tcPr>
            <w:tcW w:w="1450" w:type="pct"/>
            <w:tcBorders>
              <w:left w:val="nil"/>
              <w:bottom w:val="single" w:sz="4" w:space="0" w:color="000000" w:themeColor="text1"/>
              <w:right w:val="nil"/>
            </w:tcBorders>
          </w:tcPr>
          <w:p w:rsidR="006C69F5" w:rsidRPr="00933585" w:rsidRDefault="00CC4393" w:rsidP="00171EFB">
            <w:pPr>
              <w:spacing w:after="0"/>
              <w:rPr>
                <w:rFonts w:ascii="Times New Roman" w:hAnsi="Times New Roman"/>
              </w:rPr>
            </w:pPr>
            <w:r>
              <w:rPr>
                <w:rFonts w:ascii="Times New Roman" w:hAnsi="Times New Roman"/>
              </w:rPr>
              <w:t xml:space="preserve"> </w:t>
            </w:r>
            <w:r w:rsidR="006C69F5">
              <w:rPr>
                <w:rFonts w:ascii="Times New Roman" w:hAnsi="Times New Roman"/>
              </w:rPr>
              <w:t>личность</w:t>
            </w:r>
          </w:p>
        </w:tc>
        <w:tc>
          <w:tcPr>
            <w:tcW w:w="207" w:type="pct"/>
            <w:tcBorders>
              <w:top w:val="nil"/>
              <w:left w:val="nil"/>
              <w:bottom w:val="nil"/>
              <w:right w:val="nil"/>
            </w:tcBorders>
          </w:tcPr>
          <w:p w:rsidR="006C69F5" w:rsidRPr="00933585" w:rsidRDefault="006C69F5" w:rsidP="00171EFB">
            <w:pPr>
              <w:spacing w:after="0"/>
              <w:rPr>
                <w:rFonts w:ascii="Times New Roman" w:hAnsi="Times New Roman"/>
              </w:rPr>
            </w:pPr>
          </w:p>
        </w:tc>
        <w:tc>
          <w:tcPr>
            <w:tcW w:w="1565" w:type="pct"/>
            <w:vMerge w:val="restart"/>
            <w:tcBorders>
              <w:left w:val="nil"/>
              <w:bottom w:val="single" w:sz="4" w:space="0" w:color="000000" w:themeColor="text1"/>
            </w:tcBorders>
          </w:tcPr>
          <w:p w:rsidR="006C69F5" w:rsidRPr="00933585" w:rsidRDefault="006C69F5" w:rsidP="00171EFB">
            <w:pPr>
              <w:spacing w:after="0"/>
              <w:rPr>
                <w:rFonts w:ascii="Times New Roman" w:hAnsi="Times New Roman"/>
              </w:rPr>
            </w:pPr>
            <w:r>
              <w:rPr>
                <w:rFonts w:ascii="Times New Roman" w:hAnsi="Times New Roman"/>
              </w:rPr>
              <w:t>Банковский реквизиты:</w:t>
            </w:r>
          </w:p>
        </w:tc>
      </w:tr>
      <w:tr w:rsidR="00171EFB" w:rsidTr="007C005C">
        <w:trPr>
          <w:trHeight w:val="191"/>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200"/>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7C005C">
        <w:trPr>
          <w:trHeight w:val="129"/>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7C005C">
        <w:trPr>
          <w:trHeight w:val="127"/>
        </w:trPr>
        <w:tc>
          <w:tcPr>
            <w:tcW w:w="1660" w:type="pct"/>
            <w:vMerge/>
            <w:tcBorders>
              <w:right w:val="nil"/>
            </w:tcBorders>
          </w:tcPr>
          <w:p w:rsidR="00171EFB" w:rsidRPr="00933585" w:rsidRDefault="00171EFB" w:rsidP="00171EFB">
            <w:pPr>
              <w:spacing w:after="0"/>
              <w:rPr>
                <w:rFonts w:ascii="Times New Roman" w:hAnsi="Times New Roman"/>
              </w:rPr>
            </w:pPr>
          </w:p>
        </w:tc>
        <w:tc>
          <w:tcPr>
            <w:tcW w:w="118"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50" w:type="pct"/>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номер (при наличии)</w:t>
            </w:r>
          </w:p>
          <w:p w:rsidR="000F71F1" w:rsidRDefault="000F71F1" w:rsidP="00171EFB">
            <w:pPr>
              <w:spacing w:after="0"/>
              <w:rPr>
                <w:rFonts w:ascii="Times New Roman" w:hAnsi="Times New Roman"/>
                <w:sz w:val="18"/>
                <w:szCs w:val="18"/>
              </w:rPr>
            </w:pPr>
          </w:p>
          <w:p w:rsidR="000F71F1" w:rsidRDefault="000F71F1" w:rsidP="00171EFB">
            <w:pPr>
              <w:spacing w:after="0"/>
              <w:rPr>
                <w:rFonts w:ascii="Times New Roman" w:hAnsi="Times New Roman"/>
              </w:rPr>
            </w:pP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7C005C">
        <w:trPr>
          <w:trHeight w:val="323"/>
        </w:trPr>
        <w:tc>
          <w:tcPr>
            <w:tcW w:w="1660"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18"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50" w:type="pct"/>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207"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565"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A4D3E" w:rsidRPr="00871CF1" w:rsidRDefault="005A4D3E" w:rsidP="005A4D3E">
      <w:pPr>
        <w:tabs>
          <w:tab w:val="left" w:pos="2268"/>
          <w:tab w:val="left" w:pos="2694"/>
          <w:tab w:val="left" w:pos="4253"/>
        </w:tabs>
        <w:spacing w:after="80" w:line="240" w:lineRule="auto"/>
        <w:ind w:left="142"/>
        <w:rPr>
          <w:rFonts w:ascii="Times New Roman" w:hAnsi="Times New Roman"/>
          <w:color w:val="FFFFFF" w:themeColor="background1"/>
        </w:rPr>
      </w:pPr>
      <w:r w:rsidRPr="00871CF1">
        <w:rPr>
          <w:rFonts w:ascii="Times New Roman" w:hAnsi="Times New Roman"/>
          <w:color w:val="FFFFFF" w:themeColor="background1"/>
        </w:rPr>
        <w:t>СОГЛАСОВАНО:</w:t>
      </w:r>
    </w:p>
    <w:p w:rsidR="00871CF1" w:rsidRPr="00C71958" w:rsidRDefault="000F71F1" w:rsidP="000F71F1">
      <w:pPr>
        <w:tabs>
          <w:tab w:val="left" w:pos="2835"/>
          <w:tab w:val="left" w:pos="3261"/>
          <w:tab w:val="left" w:pos="4253"/>
        </w:tabs>
        <w:spacing w:after="80" w:line="240" w:lineRule="auto"/>
        <w:ind w:left="142"/>
        <w:rPr>
          <w:rFonts w:ascii="Times New Roman" w:hAnsi="Times New Roman"/>
          <w:color w:val="FFFFFF" w:themeColor="background1"/>
        </w:rPr>
      </w:pPr>
      <w:r>
        <w:rPr>
          <w:rFonts w:ascii="Times New Roman" w:hAnsi="Times New Roman"/>
          <w:color w:val="FFFFFF" w:themeColor="background1"/>
        </w:rPr>
        <w:lastRenderedPageBreak/>
        <w:t>Нач.учебной части</w:t>
      </w:r>
      <w:r>
        <w:rPr>
          <w:rFonts w:ascii="Times New Roman" w:hAnsi="Times New Roman"/>
          <w:color w:val="FFFFFF" w:themeColor="background1"/>
        </w:rPr>
        <w:tab/>
        <w:t>А.Н.С</w:t>
      </w:r>
    </w:p>
    <w:sectPr w:rsidR="00871CF1" w:rsidRPr="00C71958" w:rsidSect="00EF5854">
      <w:pgSz w:w="11906" w:h="16838"/>
      <w:pgMar w:top="510" w:right="45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9" w:rsidRDefault="00CF1299">
      <w:pPr>
        <w:spacing w:line="240" w:lineRule="auto"/>
      </w:pPr>
      <w:r>
        <w:separator/>
      </w:r>
    </w:p>
  </w:endnote>
  <w:endnote w:type="continuationSeparator" w:id="0">
    <w:p w:rsidR="00CF1299" w:rsidRDefault="00CF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9" w:rsidRDefault="00CF1299">
      <w:pPr>
        <w:spacing w:after="0"/>
      </w:pPr>
      <w:r>
        <w:separator/>
      </w:r>
    </w:p>
  </w:footnote>
  <w:footnote w:type="continuationSeparator" w:id="0">
    <w:p w:rsidR="00CF1299" w:rsidRDefault="00CF12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E35B1"/>
    <w:rsid w:val="000E4191"/>
    <w:rsid w:val="000F2E96"/>
    <w:rsid w:val="000F4FD2"/>
    <w:rsid w:val="000F5B1C"/>
    <w:rsid w:val="000F71F1"/>
    <w:rsid w:val="00110A48"/>
    <w:rsid w:val="00126B4C"/>
    <w:rsid w:val="00144E29"/>
    <w:rsid w:val="001569E9"/>
    <w:rsid w:val="00157E53"/>
    <w:rsid w:val="001622F1"/>
    <w:rsid w:val="00171368"/>
    <w:rsid w:val="00171EFB"/>
    <w:rsid w:val="00175733"/>
    <w:rsid w:val="001836E9"/>
    <w:rsid w:val="001850EF"/>
    <w:rsid w:val="00190E75"/>
    <w:rsid w:val="001A5133"/>
    <w:rsid w:val="001D1CA2"/>
    <w:rsid w:val="001F053E"/>
    <w:rsid w:val="0020415B"/>
    <w:rsid w:val="002131AE"/>
    <w:rsid w:val="00221DC9"/>
    <w:rsid w:val="002467A8"/>
    <w:rsid w:val="00252D78"/>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75D70"/>
    <w:rsid w:val="00483FF4"/>
    <w:rsid w:val="004843B4"/>
    <w:rsid w:val="004A6AE5"/>
    <w:rsid w:val="004C6289"/>
    <w:rsid w:val="0050662E"/>
    <w:rsid w:val="005377D1"/>
    <w:rsid w:val="00537F2E"/>
    <w:rsid w:val="0058057C"/>
    <w:rsid w:val="00591903"/>
    <w:rsid w:val="00595A8D"/>
    <w:rsid w:val="005A4D3E"/>
    <w:rsid w:val="005C0BFF"/>
    <w:rsid w:val="005C7D52"/>
    <w:rsid w:val="005E0A3A"/>
    <w:rsid w:val="005E72DA"/>
    <w:rsid w:val="00600002"/>
    <w:rsid w:val="00610FF3"/>
    <w:rsid w:val="006232CB"/>
    <w:rsid w:val="0062607E"/>
    <w:rsid w:val="00655721"/>
    <w:rsid w:val="0068449B"/>
    <w:rsid w:val="006939B5"/>
    <w:rsid w:val="006B046E"/>
    <w:rsid w:val="006C575C"/>
    <w:rsid w:val="006C69F5"/>
    <w:rsid w:val="006D125D"/>
    <w:rsid w:val="00707CA7"/>
    <w:rsid w:val="00716900"/>
    <w:rsid w:val="00720A01"/>
    <w:rsid w:val="00753D39"/>
    <w:rsid w:val="0078161B"/>
    <w:rsid w:val="007A2E22"/>
    <w:rsid w:val="007A7BF1"/>
    <w:rsid w:val="007C005C"/>
    <w:rsid w:val="007E0DCF"/>
    <w:rsid w:val="00820A22"/>
    <w:rsid w:val="008266D1"/>
    <w:rsid w:val="00853654"/>
    <w:rsid w:val="00871CF1"/>
    <w:rsid w:val="00892742"/>
    <w:rsid w:val="008A1316"/>
    <w:rsid w:val="008B4B43"/>
    <w:rsid w:val="0090748F"/>
    <w:rsid w:val="0092351F"/>
    <w:rsid w:val="00925507"/>
    <w:rsid w:val="00937804"/>
    <w:rsid w:val="00955DA8"/>
    <w:rsid w:val="0095795D"/>
    <w:rsid w:val="0096533B"/>
    <w:rsid w:val="0097588F"/>
    <w:rsid w:val="00987F90"/>
    <w:rsid w:val="00997204"/>
    <w:rsid w:val="00A0345F"/>
    <w:rsid w:val="00A0709F"/>
    <w:rsid w:val="00A24596"/>
    <w:rsid w:val="00A25DC6"/>
    <w:rsid w:val="00A26F4E"/>
    <w:rsid w:val="00A300EC"/>
    <w:rsid w:val="00A80A2D"/>
    <w:rsid w:val="00AC1DA7"/>
    <w:rsid w:val="00AC3729"/>
    <w:rsid w:val="00AD67E1"/>
    <w:rsid w:val="00AD7656"/>
    <w:rsid w:val="00AF296B"/>
    <w:rsid w:val="00AF6492"/>
    <w:rsid w:val="00B047CF"/>
    <w:rsid w:val="00B15E6C"/>
    <w:rsid w:val="00B17DF4"/>
    <w:rsid w:val="00B20135"/>
    <w:rsid w:val="00B66FC6"/>
    <w:rsid w:val="00B7387E"/>
    <w:rsid w:val="00B91567"/>
    <w:rsid w:val="00B94AC5"/>
    <w:rsid w:val="00BA4568"/>
    <w:rsid w:val="00BA71B1"/>
    <w:rsid w:val="00BE78A6"/>
    <w:rsid w:val="00C71958"/>
    <w:rsid w:val="00C80A51"/>
    <w:rsid w:val="00CA5023"/>
    <w:rsid w:val="00CB6DE4"/>
    <w:rsid w:val="00CC4393"/>
    <w:rsid w:val="00CF1299"/>
    <w:rsid w:val="00D026C6"/>
    <w:rsid w:val="00D12BA8"/>
    <w:rsid w:val="00D23D5E"/>
    <w:rsid w:val="00D242A4"/>
    <w:rsid w:val="00D2782E"/>
    <w:rsid w:val="00D8172A"/>
    <w:rsid w:val="00DA4A13"/>
    <w:rsid w:val="00DB4D1C"/>
    <w:rsid w:val="00DD6F09"/>
    <w:rsid w:val="00DE7311"/>
    <w:rsid w:val="00E063D7"/>
    <w:rsid w:val="00E400C3"/>
    <w:rsid w:val="00E53896"/>
    <w:rsid w:val="00EC40C0"/>
    <w:rsid w:val="00ED1DBA"/>
    <w:rsid w:val="00ED24F7"/>
    <w:rsid w:val="00EF2EA4"/>
    <w:rsid w:val="00EF5854"/>
    <w:rsid w:val="00F02E7D"/>
    <w:rsid w:val="00F04223"/>
    <w:rsid w:val="00F3441F"/>
    <w:rsid w:val="00F70522"/>
    <w:rsid w:val="00F90BBB"/>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28F8"/>
  <w15:docId w15:val="{41063229-390A-441A-A134-0658B96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2EF0-C346-40F2-8362-F7C61C3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2024-04-15T13:08:00Z</cp:lastPrinted>
  <dcterms:created xsi:type="dcterms:W3CDTF">2024-04-25T13:29:00Z</dcterms:created>
  <dcterms:modified xsi:type="dcterms:W3CDTF">2024-04-25T13:29:00Z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