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67302E">
        <w:rPr>
          <w:rFonts w:eastAsia="DengXian" w:cs="Times New Roman"/>
          <w:bCs/>
          <w:sz w:val="24"/>
          <w:szCs w:val="24"/>
          <w:lang w:val="be-BY" w:eastAsia="ru-RU"/>
        </w:rPr>
        <w:t>179-08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5335DD" w:rsidRDefault="0067302E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18.08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2F5070" w:rsidP="00460B0A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</w:t>
      </w:r>
      <w:r w:rsidR="00460B0A" w:rsidRPr="00460B0A">
        <w:rPr>
          <w:rFonts w:eastAsia="DengXian" w:cs="Courier New"/>
          <w:sz w:val="24"/>
          <w:szCs w:val="24"/>
          <w:lang w:eastAsia="ru-RU"/>
        </w:rPr>
        <w:t xml:space="preserve">в лице </w:t>
      </w:r>
      <w:r w:rsidR="0067302E">
        <w:rPr>
          <w:rFonts w:eastAsia="DengXian" w:cs="Courier New"/>
          <w:sz w:val="24"/>
          <w:szCs w:val="24"/>
          <w:lang w:eastAsia="ru-RU"/>
        </w:rPr>
        <w:t xml:space="preserve">руководителя практики </w:t>
      </w:r>
      <w:proofErr w:type="spellStart"/>
      <w:r w:rsidR="0067302E"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 w:rsidR="0067302E">
        <w:rPr>
          <w:rFonts w:eastAsia="DengXian" w:cs="Courier New"/>
          <w:sz w:val="24"/>
          <w:szCs w:val="24"/>
          <w:lang w:eastAsia="ru-RU"/>
        </w:rPr>
        <w:t xml:space="preserve"> Романа Андреевича</w:t>
      </w:r>
      <w:r w:rsidR="00460B0A" w:rsidRPr="00460B0A"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Доверенности от </w:t>
      </w:r>
      <w:r w:rsidR="0067302E">
        <w:rPr>
          <w:rFonts w:eastAsia="DengXian" w:cs="Courier New"/>
          <w:sz w:val="24"/>
          <w:szCs w:val="24"/>
          <w:lang w:eastAsia="ru-RU"/>
        </w:rPr>
        <w:t>28.07.2025 № 08-12/18</w:t>
      </w:r>
      <w:r w:rsidR="00460B0A" w:rsidRPr="00460B0A">
        <w:rPr>
          <w:rFonts w:eastAsia="DengXian" w:cs="Courier New"/>
          <w:sz w:val="24"/>
          <w:szCs w:val="24"/>
          <w:lang w:eastAsia="ru-RU"/>
        </w:rPr>
        <w:t xml:space="preserve">, именуемое в дальнейшем Исполнитель, с одной стороны, и гражданин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CE72B0">
        <w:rPr>
          <w:rFonts w:eastAsia="DengXian" w:cs="Times New Roman"/>
          <w:sz w:val="24"/>
          <w:szCs w:val="24"/>
          <w:lang w:eastAsia="ru-RU"/>
        </w:rPr>
        <w:t>бухгалтеров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240B9B">
        <w:rPr>
          <w:rFonts w:eastAsia="DengXian" w:cs="Times New Roman"/>
          <w:sz w:val="24"/>
          <w:szCs w:val="24"/>
          <w:lang w:eastAsia="ru-RU"/>
        </w:rPr>
        <w:t>Актуальные вопросы бухгалтерского учета и налогообложения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4D2867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67302E">
        <w:rPr>
          <w:rFonts w:eastAsia="DengXian" w:cs="Times New Roman"/>
          <w:sz w:val="24"/>
          <w:szCs w:val="24"/>
          <w:lang w:eastAsia="ru-RU"/>
        </w:rPr>
        <w:t>18.08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54447">
        <w:rPr>
          <w:rFonts w:eastAsia="DengXian" w:cs="Times New Roman"/>
          <w:sz w:val="24"/>
          <w:szCs w:val="24"/>
          <w:lang w:eastAsia="ru-RU"/>
        </w:rPr>
        <w:t>2</w:t>
      </w:r>
      <w:r w:rsidR="00CE72B0">
        <w:rPr>
          <w:rFonts w:eastAsia="DengXian" w:cs="Times New Roman"/>
          <w:sz w:val="24"/>
          <w:szCs w:val="24"/>
          <w:lang w:eastAsia="ru-RU"/>
        </w:rPr>
        <w:t>90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Двести </w:t>
      </w:r>
      <w:r w:rsidR="00CE72B0">
        <w:rPr>
          <w:rFonts w:eastAsia="DengXian" w:cs="Times New Roman"/>
          <w:sz w:val="24"/>
          <w:szCs w:val="24"/>
          <w:lang w:eastAsia="ru-RU"/>
        </w:rPr>
        <w:t>девяносто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CE72B0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241"/>
        <w:gridCol w:w="3440"/>
        <w:gridCol w:w="241"/>
        <w:gridCol w:w="3394"/>
      </w:tblGrid>
      <w:tr w:rsidR="007C55AD" w:rsidTr="000C5D58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845E5" w:rsidRDefault="007845E5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845E5" w:rsidRPr="0089397B" w:rsidRDefault="0067302E" w:rsidP="007845E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:rsidR="007845E5" w:rsidRPr="0089397B" w:rsidRDefault="007845E5" w:rsidP="007845E5">
            <w:pPr>
              <w:spacing w:line="240" w:lineRule="exact"/>
              <w:rPr>
                <w:rFonts w:ascii="Times New Roman" w:hAnsi="Times New Roman"/>
              </w:rPr>
            </w:pPr>
          </w:p>
          <w:p w:rsidR="007845E5" w:rsidRDefault="0067302E" w:rsidP="007845E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Р.А.Каргулев</w:t>
            </w:r>
            <w:proofErr w:type="spellEnd"/>
          </w:p>
          <w:p w:rsidR="000B1975" w:rsidRPr="0089397B" w:rsidRDefault="000B197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0C5D58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0C5D58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:rsidTr="000C5D58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0C5D58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0C5D58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0C5D58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:rsidTr="000C5D58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0C5D58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0C5D58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:rsidTr="000C5D58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0C5D58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0C5D58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0C5D58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C5D58" w:rsidRPr="009C4C14" w:rsidRDefault="000C5D58" w:rsidP="000C5D58">
      <w:pPr>
        <w:tabs>
          <w:tab w:val="left" w:pos="3969"/>
        </w:tabs>
      </w:pPr>
    </w:p>
    <w:p w:rsidR="000C5D58" w:rsidRDefault="000C5D58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E67D4C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Начальник учебной части </w:t>
      </w:r>
      <w:r w:rsidRPr="00E67D4C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="00E67D4C" w:rsidRPr="00E67D4C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     </w:t>
      </w:r>
      <w:r w:rsidR="00A544E9">
        <w:rPr>
          <w:rFonts w:eastAsia="DengXian" w:cs="Times New Roman"/>
          <w:color w:val="FFFFFF" w:themeColor="background1"/>
          <w:sz w:val="24"/>
          <w:szCs w:val="24"/>
          <w:lang w:eastAsia="ru-RU"/>
        </w:rPr>
        <w:t>А.Н.С</w:t>
      </w:r>
    </w:p>
    <w:p w:rsidR="00A544E9" w:rsidRDefault="00A544E9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:rsidR="00A544E9" w:rsidRDefault="00A544E9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:rsidR="00B705E7" w:rsidRPr="00E67D4C" w:rsidRDefault="00B705E7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:rsidR="00B705E7" w:rsidRDefault="00B705E7" w:rsidP="00A544E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bookmarkStart w:id="3" w:name="_GoBack"/>
      <w:bookmarkEnd w:id="3"/>
      <w:r w:rsidRPr="006F1914">
        <w:rPr>
          <w:rFonts w:eastAsia="DengXian" w:cs="Times New Roman"/>
          <w:bCs/>
          <w:sz w:val="24"/>
          <w:szCs w:val="24"/>
          <w:lang w:eastAsia="ru-RU"/>
        </w:rPr>
        <w:lastRenderedPageBreak/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67302E">
        <w:rPr>
          <w:rFonts w:eastAsia="DengXian" w:cs="Times New Roman"/>
          <w:bCs/>
          <w:sz w:val="24"/>
          <w:szCs w:val="24"/>
          <w:lang w:val="be-BY" w:eastAsia="ru-RU"/>
        </w:rPr>
        <w:t>179-08</w:t>
      </w:r>
      <w:r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:rsidR="00A544E9" w:rsidRPr="007A7499" w:rsidRDefault="00A544E9" w:rsidP="00A544E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A544E9" w:rsidRDefault="0067302E" w:rsidP="00A544E9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18.08</w:t>
      </w:r>
      <w:r w:rsidR="00A544E9">
        <w:rPr>
          <w:rFonts w:eastAsia="DengXian" w:cs="Times New Roman"/>
          <w:sz w:val="24"/>
          <w:szCs w:val="24"/>
          <w:lang w:val="be-BY" w:eastAsia="ru-RU"/>
        </w:rPr>
        <w:t>.2025</w:t>
      </w:r>
      <w:r w:rsidR="00A544E9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 w:rsidR="00A544E9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A544E9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A544E9" w:rsidRPr="007A7499" w:rsidRDefault="00A544E9" w:rsidP="00A544E9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A544E9" w:rsidRPr="006F1914" w:rsidRDefault="0067302E" w:rsidP="00A544E9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 w:rsidRPr="0067302E">
        <w:rPr>
          <w:rFonts w:eastAsia="DengXian" w:cs="Courier New"/>
          <w:sz w:val="24"/>
          <w:szCs w:val="24"/>
          <w:lang w:eastAsia="ru-RU"/>
        </w:rPr>
        <w:t xml:space="preserve"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 в лице руководителя практики </w:t>
      </w:r>
      <w:proofErr w:type="spellStart"/>
      <w:r w:rsidRPr="0067302E"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 w:rsidRPr="0067302E">
        <w:rPr>
          <w:rFonts w:eastAsia="DengXian" w:cs="Courier New"/>
          <w:sz w:val="24"/>
          <w:szCs w:val="24"/>
          <w:lang w:eastAsia="ru-RU"/>
        </w:rPr>
        <w:t xml:space="preserve"> Романа Андреевича, действующего на основании Доверенности от 28.07.2025 № 08-12/18, именуемое в дальнейшем Исполнитель, с одной стороны, и гражданин </w:t>
      </w:r>
      <w:r w:rsidR="00A544E9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A544E9" w:rsidRPr="002631AA" w:rsidRDefault="00A544E9" w:rsidP="00A544E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A544E9" w:rsidRPr="00200607" w:rsidRDefault="00A544E9" w:rsidP="00A544E9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A544E9" w:rsidRPr="00234046" w:rsidRDefault="00A544E9" w:rsidP="00A544E9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A544E9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повышения квалификации бухгалтеров по теме </w:t>
      </w:r>
      <w:r w:rsidRPr="008818D6">
        <w:rPr>
          <w:rFonts w:eastAsia="DengXian" w:cs="Times New Roman"/>
          <w:sz w:val="24"/>
          <w:szCs w:val="24"/>
          <w:lang w:eastAsia="ru-RU"/>
        </w:rPr>
        <w:t>«</w:t>
      </w:r>
      <w:r>
        <w:rPr>
          <w:rFonts w:eastAsia="DengXian" w:cs="Times New Roman"/>
          <w:sz w:val="24"/>
          <w:szCs w:val="24"/>
          <w:lang w:eastAsia="ru-RU"/>
        </w:rPr>
        <w:t>Актуальные вопросы бухгалтерского учета и налогообложения</w:t>
      </w:r>
      <w:r w:rsidRPr="008818D6">
        <w:rPr>
          <w:rFonts w:eastAsia="DengXian" w:cs="Times New Roman"/>
          <w:sz w:val="24"/>
          <w:szCs w:val="24"/>
          <w:lang w:eastAsia="ru-RU"/>
        </w:rPr>
        <w:t>»</w:t>
      </w:r>
      <w:r>
        <w:rPr>
          <w:rFonts w:eastAsia="DengXian" w:cs="Times New Roman"/>
          <w:sz w:val="24"/>
          <w:szCs w:val="24"/>
          <w:lang w:eastAsia="ru-RU"/>
        </w:rPr>
        <w:t>.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A544E9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3. Срок обучения составляет 36 часов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67302E">
        <w:rPr>
          <w:rFonts w:eastAsia="DengXian" w:cs="Times New Roman"/>
          <w:sz w:val="24"/>
          <w:szCs w:val="24"/>
          <w:lang w:eastAsia="ru-RU"/>
        </w:rPr>
        <w:t>18.08</w:t>
      </w:r>
      <w:r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544E9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>
        <w:rPr>
          <w:rFonts w:eastAsia="DengXian" w:cs="Times New Roman"/>
          <w:sz w:val="24"/>
          <w:szCs w:val="24"/>
          <w:lang w:eastAsia="ru-RU"/>
        </w:rPr>
        <w:t>290,00 (Двести девяносто белорусских рублей, 00 копеек)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A544E9" w:rsidRPr="0070164A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</w:t>
      </w:r>
      <w:proofErr w:type="spellStart"/>
      <w:r w:rsidRPr="0070164A">
        <w:rPr>
          <w:rFonts w:eastAsia="DengXian" w:cs="Times New Roman"/>
          <w:sz w:val="24"/>
          <w:szCs w:val="24"/>
          <w:lang w:eastAsia="ru-RU"/>
        </w:rPr>
        <w:t>Беларусбанк</w:t>
      </w:r>
      <w:proofErr w:type="spellEnd"/>
      <w:r w:rsidRPr="0070164A">
        <w:rPr>
          <w:rFonts w:eastAsia="DengXian" w:cs="Times New Roman"/>
          <w:sz w:val="24"/>
          <w:szCs w:val="24"/>
          <w:lang w:eastAsia="ru-RU"/>
        </w:rPr>
        <w:t xml:space="preserve">», г. Минск, пр-т Дзержинского, 69, к.1, ВІС AKBBBY2Х Исполнителя в виде 100% предварительной оплаты с обязательным указанием реквизитов (оплата обучение Ф.И.О. заказчика, должность, срок получения образования) </w:t>
      </w:r>
      <w:r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A544E9" w:rsidRPr="0070164A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A544E9" w:rsidRPr="00F71318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A544E9" w:rsidRPr="00F71318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1316AD" w:rsidRDefault="00A544E9" w:rsidP="00A544E9">
      <w:pPr>
        <w:tabs>
          <w:tab w:val="left" w:pos="3402"/>
        </w:tabs>
        <w:ind w:left="708" w:hanging="708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>10.1. При отчислении Заказчика по основаниям, предусмотренным статьей 68 пунктами 5.5,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5.13, 5.16, 5.17 Кодекса Республики Беларусь об образовании, </w:t>
      </w:r>
      <w:r>
        <w:rPr>
          <w:rFonts w:eastAsia="DengXian" w:cs="Times New Roman"/>
          <w:sz w:val="24"/>
          <w:szCs w:val="24"/>
          <w:lang w:eastAsia="ru-RU"/>
        </w:rPr>
        <w:t>пунктом 10.6</w:t>
      </w:r>
      <w:r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A544E9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A544E9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A544E9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A544E9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10.6. Досрочное прекращение образовательных отношений (отчисление) по инициативе Исполнителя, осуществляется в случае: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недостижении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согласия - в порядке, установленном законодательством.</w:t>
      </w:r>
    </w:p>
    <w:p w:rsidR="00A544E9" w:rsidRPr="006F1914" w:rsidRDefault="00A544E9" w:rsidP="00A544E9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241"/>
        <w:gridCol w:w="3440"/>
        <w:gridCol w:w="241"/>
        <w:gridCol w:w="3394"/>
      </w:tblGrid>
      <w:tr w:rsidR="00A544E9" w:rsidTr="00F45BCC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:rsidR="00A544E9" w:rsidRPr="001F1659" w:rsidRDefault="00A544E9" w:rsidP="00F45BCC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A544E9" w:rsidRPr="001F1659" w:rsidRDefault="00A544E9" w:rsidP="00F45BCC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A544E9" w:rsidRPr="001F1659" w:rsidRDefault="00A544E9" w:rsidP="00F45BCC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A544E9" w:rsidRDefault="00A544E9" w:rsidP="00F45BCC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Беларусбанк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», г. Минск, пр-т Дзержинского, 69, к.1, ВІС AKBBBY2Х </w:t>
            </w:r>
          </w:p>
          <w:p w:rsidR="00A544E9" w:rsidRPr="001F1659" w:rsidRDefault="00A544E9" w:rsidP="00F45BCC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A544E9" w:rsidRDefault="00A544E9" w:rsidP="00F45BCC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A544E9" w:rsidRDefault="00A544E9" w:rsidP="00F45BCC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A544E9" w:rsidRPr="0089397B" w:rsidRDefault="0067302E" w:rsidP="00F45BCC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:rsidR="00A544E9" w:rsidRPr="0089397B" w:rsidRDefault="00A544E9" w:rsidP="00F45BCC">
            <w:pPr>
              <w:spacing w:line="240" w:lineRule="exact"/>
              <w:rPr>
                <w:rFonts w:ascii="Times New Roman" w:hAnsi="Times New Roman"/>
              </w:rPr>
            </w:pPr>
          </w:p>
          <w:p w:rsidR="00A544E9" w:rsidRDefault="0067302E" w:rsidP="00F45BCC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Р.А.Каргулев</w:t>
            </w:r>
            <w:proofErr w:type="spellEnd"/>
          </w:p>
          <w:p w:rsidR="00A544E9" w:rsidRPr="0089397B" w:rsidRDefault="00A544E9" w:rsidP="00F45BCC">
            <w:pPr>
              <w:spacing w:line="240" w:lineRule="exact"/>
              <w:rPr>
                <w:rFonts w:ascii="Times New Roman" w:hAnsi="Times New Roman"/>
              </w:rPr>
            </w:pPr>
          </w:p>
          <w:p w:rsidR="00A544E9" w:rsidRPr="00933585" w:rsidRDefault="00A544E9" w:rsidP="00F45BCC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:rsidR="00A544E9" w:rsidRPr="00933585" w:rsidRDefault="00A544E9" w:rsidP="00F45BCC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:rsidR="00A544E9" w:rsidRPr="00933585" w:rsidRDefault="00A544E9" w:rsidP="00F45B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A544E9" w:rsidTr="00F45BCC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933585" w:rsidRDefault="00A544E9" w:rsidP="00F45BCC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</w:tr>
      <w:tr w:rsidR="00A544E9" w:rsidTr="00F45BCC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7552C9" w:rsidRDefault="00A544E9" w:rsidP="00F45B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A544E9" w:rsidRPr="00933585" w:rsidRDefault="00A544E9" w:rsidP="00F45BCC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933585" w:rsidRDefault="00A544E9" w:rsidP="00F45BCC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7552C9" w:rsidRDefault="00A544E9" w:rsidP="00F45BCC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A544E9" w:rsidTr="00F45BCC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7552C9" w:rsidRDefault="00A544E9" w:rsidP="00F45B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7552C9" w:rsidRDefault="00A544E9" w:rsidP="00F45BCC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7552C9" w:rsidRDefault="00A544E9" w:rsidP="00F45BCC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4E9" w:rsidTr="00F45BCC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933585" w:rsidRDefault="00A544E9" w:rsidP="00F45BCC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7552C9" w:rsidRDefault="00A544E9" w:rsidP="00F45BCC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4E9" w:rsidTr="00F45BCC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933585" w:rsidRDefault="00A544E9" w:rsidP="00F45BCC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A544E9" w:rsidTr="00F45BCC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933585" w:rsidRDefault="00A544E9" w:rsidP="00F45BCC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3B38DA" w:rsidRDefault="00A544E9" w:rsidP="00F45BCC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544E9" w:rsidTr="00F45BCC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933585" w:rsidRDefault="00A544E9" w:rsidP="00F45BC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933585" w:rsidRDefault="00A544E9" w:rsidP="00F45BCC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____________________________Банковские реквизиты:</w:t>
            </w:r>
          </w:p>
        </w:tc>
      </w:tr>
      <w:tr w:rsidR="00A544E9" w:rsidTr="00F45BCC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7552C9" w:rsidRDefault="00A544E9" w:rsidP="00F45BCC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7552C9" w:rsidRDefault="00A544E9" w:rsidP="00F45BCC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</w:tr>
      <w:tr w:rsidR="00A544E9" w:rsidTr="00F45BCC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7552C9" w:rsidRDefault="00A544E9" w:rsidP="00F45BCC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7552C9" w:rsidRDefault="00A544E9" w:rsidP="00F45BCC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933585" w:rsidRDefault="00A544E9" w:rsidP="00F45BCC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A544E9" w:rsidTr="00F45BCC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B81FC2" w:rsidRDefault="00A544E9" w:rsidP="00F45BC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B81FC2" w:rsidRDefault="00A544E9" w:rsidP="00F45BCC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A544E9" w:rsidTr="00F45BCC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B81FC2" w:rsidRDefault="00A544E9" w:rsidP="00F45BC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A544E9" w:rsidRPr="00B81FC2" w:rsidRDefault="00A544E9" w:rsidP="00F45BCC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A544E9" w:rsidRPr="007552C9" w:rsidRDefault="00A544E9" w:rsidP="00F45BCC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A544E9" w:rsidTr="00F45BCC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A544E9" w:rsidRPr="00933585" w:rsidRDefault="00A544E9" w:rsidP="00F45BCC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4E9" w:rsidRPr="00B81FC2" w:rsidRDefault="00A544E9" w:rsidP="00F45B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:rsidR="00A544E9" w:rsidRPr="00B81FC2" w:rsidRDefault="00A544E9" w:rsidP="00F45BCC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:rsidR="00A544E9" w:rsidRPr="007552C9" w:rsidRDefault="00A544E9" w:rsidP="00F45BCC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A544E9" w:rsidTr="00F45BCC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:rsidR="00A544E9" w:rsidRPr="00933585" w:rsidRDefault="00A544E9" w:rsidP="00F45BCC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A544E9" w:rsidRPr="00933585" w:rsidRDefault="00A544E9" w:rsidP="00F45BCC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4E9" w:rsidRPr="007552C9" w:rsidRDefault="00A544E9" w:rsidP="00F45BC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A544E9" w:rsidRPr="00B81FC2" w:rsidRDefault="00A544E9" w:rsidP="00F45BCC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:rsidR="00A544E9" w:rsidRPr="007552C9" w:rsidRDefault="00A544E9" w:rsidP="00F45BCC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A544E9" w:rsidRPr="009C4C14" w:rsidRDefault="00A544E9" w:rsidP="00A544E9">
      <w:pPr>
        <w:tabs>
          <w:tab w:val="left" w:pos="3969"/>
        </w:tabs>
      </w:pPr>
    </w:p>
    <w:p w:rsidR="00A544E9" w:rsidRPr="008D0607" w:rsidRDefault="00A544E9" w:rsidP="00A544E9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</w:p>
    <w:sectPr w:rsidR="00A544E9" w:rsidRPr="008D0607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B4" w:rsidRDefault="005C72B4" w:rsidP="00FB6A06">
      <w:r>
        <w:separator/>
      </w:r>
    </w:p>
  </w:endnote>
  <w:endnote w:type="continuationSeparator" w:id="0">
    <w:p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B4" w:rsidRDefault="005C72B4" w:rsidP="00FB6A06">
      <w:r>
        <w:separator/>
      </w:r>
    </w:p>
  </w:footnote>
  <w:footnote w:type="continuationSeparator" w:id="0">
    <w:p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5954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4FFB" w:rsidRPr="003033E3" w:rsidRDefault="00F81895" w:rsidP="003033E3">
        <w:pPr>
          <w:pStyle w:val="afb"/>
          <w:jc w:val="center"/>
          <w:rPr>
            <w:sz w:val="24"/>
            <w:szCs w:val="24"/>
          </w:rPr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74"/>
    <w:rsid w:val="00010177"/>
    <w:rsid w:val="00022DF1"/>
    <w:rsid w:val="00032568"/>
    <w:rsid w:val="00044FFB"/>
    <w:rsid w:val="0008316E"/>
    <w:rsid w:val="000947B3"/>
    <w:rsid w:val="000A1F1A"/>
    <w:rsid w:val="000A4457"/>
    <w:rsid w:val="000B1975"/>
    <w:rsid w:val="000B2C81"/>
    <w:rsid w:val="000C3E4A"/>
    <w:rsid w:val="000C5D58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F7BAA"/>
    <w:rsid w:val="00200607"/>
    <w:rsid w:val="00234046"/>
    <w:rsid w:val="00240B9B"/>
    <w:rsid w:val="002603D7"/>
    <w:rsid w:val="0026103B"/>
    <w:rsid w:val="002631AA"/>
    <w:rsid w:val="00264D3A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2F5070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402E81"/>
    <w:rsid w:val="004101D9"/>
    <w:rsid w:val="004340E2"/>
    <w:rsid w:val="00446482"/>
    <w:rsid w:val="00453B9E"/>
    <w:rsid w:val="00460B0A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7302E"/>
    <w:rsid w:val="00680CBE"/>
    <w:rsid w:val="006B46C2"/>
    <w:rsid w:val="006C3F2A"/>
    <w:rsid w:val="006D5CAE"/>
    <w:rsid w:val="006F1914"/>
    <w:rsid w:val="006F47BB"/>
    <w:rsid w:val="0070164A"/>
    <w:rsid w:val="00725B55"/>
    <w:rsid w:val="007508C9"/>
    <w:rsid w:val="00753EF8"/>
    <w:rsid w:val="007552C9"/>
    <w:rsid w:val="00760186"/>
    <w:rsid w:val="007845E5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0607"/>
    <w:rsid w:val="008D341B"/>
    <w:rsid w:val="008E7789"/>
    <w:rsid w:val="00902178"/>
    <w:rsid w:val="00910D8D"/>
    <w:rsid w:val="00911CA1"/>
    <w:rsid w:val="0092501A"/>
    <w:rsid w:val="0094201B"/>
    <w:rsid w:val="009423DE"/>
    <w:rsid w:val="00962DDE"/>
    <w:rsid w:val="00977F43"/>
    <w:rsid w:val="009842CE"/>
    <w:rsid w:val="00985F59"/>
    <w:rsid w:val="009A35F9"/>
    <w:rsid w:val="009C4C14"/>
    <w:rsid w:val="009C60AB"/>
    <w:rsid w:val="009D66AE"/>
    <w:rsid w:val="00A04CCA"/>
    <w:rsid w:val="00A05983"/>
    <w:rsid w:val="00A0691F"/>
    <w:rsid w:val="00A10B5D"/>
    <w:rsid w:val="00A1360C"/>
    <w:rsid w:val="00A151D8"/>
    <w:rsid w:val="00A1586D"/>
    <w:rsid w:val="00A3681E"/>
    <w:rsid w:val="00A413C9"/>
    <w:rsid w:val="00A44B6C"/>
    <w:rsid w:val="00A44BD7"/>
    <w:rsid w:val="00A47952"/>
    <w:rsid w:val="00A544E9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E2D"/>
    <w:rsid w:val="00AE371E"/>
    <w:rsid w:val="00B203E4"/>
    <w:rsid w:val="00B32683"/>
    <w:rsid w:val="00B340D4"/>
    <w:rsid w:val="00B5589A"/>
    <w:rsid w:val="00B64119"/>
    <w:rsid w:val="00B705E7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E1CB9"/>
    <w:rsid w:val="00CE5AF8"/>
    <w:rsid w:val="00CE72B0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67D4C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2287E"/>
    <w:rsid w:val="00F30232"/>
    <w:rsid w:val="00F35CD4"/>
    <w:rsid w:val="00F4799F"/>
    <w:rsid w:val="00F6799E"/>
    <w:rsid w:val="00F71318"/>
    <w:rsid w:val="00F81895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DF017B"/>
  <w15:docId w15:val="{A2896307-9881-44E5-B355-F64C9506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E9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A750-EFBB-49F4-BC24-17A3C6EF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Metodist304-1</cp:lastModifiedBy>
  <cp:revision>9</cp:revision>
  <cp:lastPrinted>2025-06-19T13:38:00Z</cp:lastPrinted>
  <dcterms:created xsi:type="dcterms:W3CDTF">2025-07-09T13:29:00Z</dcterms:created>
  <dcterms:modified xsi:type="dcterms:W3CDTF">2025-08-14T05:54:00Z</dcterms:modified>
</cp:coreProperties>
</file>