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70D73" w14:textId="22F74BA4" w:rsidR="006F1914" w:rsidRPr="006F1914" w:rsidRDefault="00ED3A81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713ED6">
        <w:rPr>
          <w:rFonts w:eastAsia="DengXian" w:cs="Times New Roman"/>
          <w:bCs/>
          <w:sz w:val="24"/>
          <w:szCs w:val="24"/>
          <w:lang w:val="be-BY" w:eastAsia="ru-RU"/>
        </w:rPr>
        <w:t>№</w:t>
      </w:r>
      <w:r w:rsidR="00EA32ED">
        <w:rPr>
          <w:rFonts w:eastAsia="DengXian" w:cs="Times New Roman"/>
          <w:bCs/>
          <w:sz w:val="24"/>
          <w:szCs w:val="24"/>
          <w:lang w:val="be-BY" w:eastAsia="ru-RU"/>
        </w:rPr>
        <w:t xml:space="preserve"> 41-02/</w:t>
      </w:r>
      <w:bookmarkStart w:id="0" w:name="_GoBack"/>
      <w:bookmarkEnd w:id="0"/>
    </w:p>
    <w:p w14:paraId="6C9BB909" w14:textId="77777777" w:rsidR="007A7499" w:rsidRP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14:paraId="2D167A51" w14:textId="69FA299D" w:rsidR="005335DD" w:rsidRDefault="00713ED6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16</w:t>
      </w:r>
      <w:r w:rsidR="00C66F5D">
        <w:rPr>
          <w:rFonts w:eastAsia="DengXian" w:cs="Times New Roman"/>
          <w:sz w:val="24"/>
          <w:szCs w:val="24"/>
          <w:lang w:val="be-BY" w:eastAsia="ru-RU"/>
        </w:rPr>
        <w:t xml:space="preserve"> </w:t>
      </w:r>
      <w:r>
        <w:rPr>
          <w:rFonts w:eastAsia="DengXian" w:cs="Times New Roman"/>
          <w:sz w:val="24"/>
          <w:szCs w:val="24"/>
          <w:lang w:val="be-BY" w:eastAsia="ru-RU"/>
        </w:rPr>
        <w:t xml:space="preserve">февраля </w:t>
      </w:r>
      <w:r w:rsidR="00EE6C00">
        <w:rPr>
          <w:rFonts w:eastAsia="DengXian" w:cs="Times New Roman"/>
          <w:sz w:val="24"/>
          <w:szCs w:val="24"/>
          <w:lang w:eastAsia="ru-RU"/>
        </w:rPr>
        <w:t>20</w:t>
      </w:r>
      <w:r>
        <w:rPr>
          <w:rFonts w:eastAsia="DengXian" w:cs="Times New Roman"/>
          <w:sz w:val="24"/>
          <w:szCs w:val="24"/>
          <w:lang w:eastAsia="ru-RU"/>
        </w:rPr>
        <w:t>26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EE6C00">
        <w:rPr>
          <w:rFonts w:eastAsia="DengXian" w:cs="Times New Roman"/>
          <w:sz w:val="24"/>
          <w:szCs w:val="24"/>
          <w:lang w:eastAsia="ru-RU"/>
        </w:rPr>
        <w:t>г.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14:paraId="525F4C91" w14:textId="77777777"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14:paraId="2D093A08" w14:textId="7463C753"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163CCC" w:rsidRPr="00163CCC">
        <w:rPr>
          <w:rFonts w:eastAsia="DengXian" w:cs="Courier New"/>
          <w:sz w:val="24"/>
          <w:szCs w:val="24"/>
          <w:lang w:eastAsia="ru-RU"/>
        </w:rPr>
        <w:t xml:space="preserve">в лице </w:t>
      </w:r>
      <w:r w:rsidR="00713ED6">
        <w:rPr>
          <w:rFonts w:eastAsia="DengXian" w:cs="Courier New"/>
          <w:sz w:val="24"/>
          <w:szCs w:val="24"/>
          <w:lang w:eastAsia="ru-RU"/>
        </w:rPr>
        <w:t>заместителя директора по учебно-производственной и учебной работе</w:t>
      </w:r>
      <w:r w:rsidR="000E1323">
        <w:rPr>
          <w:rFonts w:eastAsia="DengXian" w:cs="Courier New"/>
          <w:sz w:val="24"/>
          <w:szCs w:val="24"/>
          <w:lang w:eastAsia="ru-RU"/>
        </w:rPr>
        <w:t xml:space="preserve"> Каргулё</w:t>
      </w:r>
      <w:r w:rsidR="00163CCC" w:rsidRPr="00163CCC">
        <w:rPr>
          <w:rFonts w:eastAsia="DengXian" w:cs="Courier New"/>
          <w:sz w:val="24"/>
          <w:szCs w:val="24"/>
          <w:lang w:eastAsia="ru-RU"/>
        </w:rPr>
        <w:t xml:space="preserve">ва Романа Андреевича, действующего на основании Доверенности от </w:t>
      </w:r>
      <w:r w:rsidR="00713ED6">
        <w:rPr>
          <w:rFonts w:eastAsia="DengXian" w:cs="Courier New"/>
          <w:sz w:val="24"/>
          <w:szCs w:val="24"/>
          <w:lang w:eastAsia="ru-RU"/>
        </w:rPr>
        <w:t>18.12.2025 № 08-12/22</w:t>
      </w:r>
      <w:r w:rsidR="00287A9B">
        <w:rPr>
          <w:rFonts w:eastAsia="DengXian" w:cs="Courier New"/>
          <w:sz w:val="24"/>
          <w:szCs w:val="24"/>
          <w:lang w:eastAsia="ru-RU"/>
        </w:rPr>
        <w:t>,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14:paraId="56041933" w14:textId="77777777"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14:paraId="7647A0A0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14:paraId="34EA17EE" w14:textId="77777777"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14:paraId="13A4DE67" w14:textId="77777777"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36F4E033" w14:textId="77777777"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14:paraId="6B49C2A4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14:paraId="07BCFDAD" w14:textId="77777777"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14:paraId="785C7F2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14:paraId="0F86186A" w14:textId="77777777"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14:paraId="2663651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14:paraId="4E28E663" w14:textId="62116E6E"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289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95A9B" w:rsidRPr="00A95A9B">
        <w:rPr>
          <w:rFonts w:eastAsia="DengXian" w:cs="Times New Roman"/>
          <w:sz w:val="24"/>
          <w:szCs w:val="24"/>
          <w:lang w:eastAsia="ru-RU"/>
        </w:rPr>
        <w:t xml:space="preserve">образовательная программа </w:t>
      </w:r>
      <w:r w:rsidR="00C80E98">
        <w:rPr>
          <w:rFonts w:eastAsia="DengXian" w:cs="Times New Roman"/>
          <w:sz w:val="24"/>
          <w:szCs w:val="24"/>
          <w:lang w:eastAsia="ru-RU"/>
        </w:rPr>
        <w:t xml:space="preserve">профессиональной </w:t>
      </w:r>
      <w:r w:rsidR="003D12CE">
        <w:rPr>
          <w:rFonts w:cs="Times New Roman"/>
          <w:sz w:val="24"/>
          <w:szCs w:val="24"/>
        </w:rPr>
        <w:t>подготовки по рабочей профессии «</w:t>
      </w:r>
      <w:r w:rsidR="00713ED6">
        <w:rPr>
          <w:rFonts w:cs="Times New Roman"/>
          <w:sz w:val="24"/>
          <w:szCs w:val="24"/>
        </w:rPr>
        <w:t>Вальщик леса</w:t>
      </w:r>
      <w:r w:rsidR="00C80E98">
        <w:rPr>
          <w:rFonts w:cs="Times New Roman"/>
          <w:sz w:val="24"/>
          <w:szCs w:val="24"/>
        </w:rPr>
        <w:t xml:space="preserve">» </w:t>
      </w:r>
      <w:r w:rsidR="00713ED6">
        <w:rPr>
          <w:rFonts w:cs="Times New Roman"/>
          <w:sz w:val="24"/>
          <w:szCs w:val="24"/>
        </w:rPr>
        <w:t>6</w:t>
      </w:r>
      <w:r w:rsidR="003D12CE" w:rsidRPr="008A7216">
        <w:rPr>
          <w:rFonts w:cs="Times New Roman"/>
          <w:sz w:val="24"/>
          <w:szCs w:val="24"/>
        </w:rPr>
        <w:t xml:space="preserve"> </w:t>
      </w:r>
      <w:r w:rsidR="00DD79C1">
        <w:rPr>
          <w:rFonts w:cs="Times New Roman"/>
          <w:sz w:val="24"/>
          <w:szCs w:val="24"/>
        </w:rPr>
        <w:t xml:space="preserve">квалификационного </w:t>
      </w:r>
      <w:r w:rsidR="003D12CE" w:rsidRPr="008A7216">
        <w:rPr>
          <w:rFonts w:cs="Times New Roman"/>
          <w:sz w:val="24"/>
          <w:szCs w:val="24"/>
        </w:rPr>
        <w:t>разряда</w:t>
      </w:r>
      <w:r w:rsidR="003D12CE">
        <w:rPr>
          <w:rFonts w:cs="Times New Roman"/>
          <w:sz w:val="24"/>
          <w:szCs w:val="24"/>
        </w:rPr>
        <w:t>.</w:t>
      </w:r>
    </w:p>
    <w:p w14:paraId="121B3A10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14:paraId="398F1FFA" w14:textId="36CEAAC1"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_______</w:t>
      </w:r>
      <w:r w:rsidR="00805970">
        <w:rPr>
          <w:rFonts w:eastAsia="DengXian" w:cs="Times New Roman"/>
          <w:sz w:val="24"/>
          <w:szCs w:val="24"/>
          <w:lang w:eastAsia="ru-RU"/>
        </w:rPr>
        <w:t>320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D63844">
        <w:rPr>
          <w:rFonts w:eastAsia="DengXian" w:cs="Times New Roman"/>
          <w:sz w:val="24"/>
          <w:szCs w:val="24"/>
          <w:lang w:eastAsia="ru-RU"/>
        </w:rPr>
        <w:t>_________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42CA7B15" w14:textId="77777777" w:rsidR="0070164A" w:rsidRPr="00985F59" w:rsidRDefault="00883871" w:rsidP="001316AD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14:paraId="6CE0B67C" w14:textId="634ADD1F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713ED6">
        <w:rPr>
          <w:rFonts w:eastAsia="DengXian" w:cs="Times New Roman"/>
          <w:sz w:val="24"/>
          <w:szCs w:val="24"/>
          <w:lang w:eastAsia="ru-RU"/>
        </w:rPr>
        <w:t>16</w:t>
      </w:r>
      <w:r w:rsidR="00713ED6">
        <w:rPr>
          <w:rFonts w:eastAsia="DengXian" w:cs="Times New Roman"/>
          <w:sz w:val="24"/>
          <w:szCs w:val="24"/>
          <w:lang w:val="be-BY" w:eastAsia="ru-RU"/>
        </w:rPr>
        <w:t>.02</w:t>
      </w:r>
      <w:r w:rsidR="00713ED6">
        <w:rPr>
          <w:rFonts w:eastAsia="DengXian" w:cs="Times New Roman"/>
          <w:sz w:val="24"/>
          <w:szCs w:val="24"/>
          <w:lang w:eastAsia="ru-RU"/>
        </w:rPr>
        <w:t>.2026.</w:t>
      </w:r>
    </w:p>
    <w:p w14:paraId="03C5956F" w14:textId="449CF4F3" w:rsid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</w:t>
      </w:r>
      <w:r w:rsidR="00125481" w:rsidRPr="00125481">
        <w:rPr>
          <w:rFonts w:eastAsia="DengXian" w:cs="Times New Roman"/>
          <w:sz w:val="24"/>
          <w:szCs w:val="24"/>
          <w:lang w:eastAsia="ru-RU"/>
        </w:rPr>
        <w:t>Стоимость обучения определяется исходя из затрат на обучение, утверждается приказом руководителя Исполнителя и на момент заключения настоящего договора составляет 720,00 руб. (Семьсот двадцать белорусских рублей 00 копеек).</w:t>
      </w:r>
    </w:p>
    <w:p w14:paraId="4E026378" w14:textId="77777777"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14:paraId="4CAEC983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14:paraId="6875750A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14:paraId="7D17E149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182AB9DD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14:paraId="3A290F01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4D2867">
        <w:rPr>
          <w:rFonts w:eastAsia="DengXian" w:cs="Times New Roman"/>
          <w:sz w:val="24"/>
          <w:szCs w:val="24"/>
          <w:lang w:eastAsia="ru-RU"/>
        </w:rPr>
        <w:t>в течение 10 банковских дней со дня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14:paraId="54316A49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14:paraId="06C752F5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14:paraId="27C62BB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7887D37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14:paraId="0DC92B3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14:paraId="798CB24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25A035F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0E424AF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14:paraId="204305E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14:paraId="46473C4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14:paraId="35E027D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14:paraId="736537D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14:paraId="0D1C6A6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14:paraId="1629F07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14:paraId="61FAEE47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 xml:space="preserve">.3. Заказчик несет ответственность перед Исполнителем за причинение вреда имуществу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>Исполнителя в соответствии с законодательством.</w:t>
      </w:r>
    </w:p>
    <w:p w14:paraId="72940CF4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14:paraId="34C1F3D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14:paraId="0FB3401E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14:paraId="6AAF724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14:paraId="67C0BEAD" w14:textId="77777777"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14:paraId="685FD05B" w14:textId="77777777"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14:paraId="3EC9274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14:paraId="45F477B4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14:paraId="4EA114F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14:paraId="14AE7378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0390825D" w14:textId="77777777"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14:paraId="59E5CD00" w14:textId="77777777"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14:paraId="5FF66113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14:paraId="09F6FB3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14:paraId="630FE9E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748D585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14:paraId="6D824955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14:paraId="3A44325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14:paraId="654C4C88" w14:textId="77777777"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14:paraId="112EA4F6" w14:textId="77777777" w:rsidTr="003D12CE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14:paraId="3B20F332" w14:textId="77777777"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14:paraId="7A1E8D51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14:paraId="0120598F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14:paraId="5118839D" w14:textId="4BD581AC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</w:t>
            </w:r>
            <w:r w:rsidR="00BA316D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   </w:t>
            </w:r>
            <w:r w:rsidR="0017382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пр-т 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Дзержинского, 69, к.1, ВІС AKBBBY2Х </w:t>
            </w:r>
          </w:p>
          <w:p w14:paraId="347DEE83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14:paraId="5E33D9AD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38731C3E" w14:textId="77777777" w:rsidR="00ED3A81" w:rsidRDefault="00ED3A81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14:paraId="26E16A83" w14:textId="4B0A0D4B" w:rsidR="00ED3A81" w:rsidRDefault="00ED3A81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14:paraId="77ADC618" w14:textId="4E899A99" w:rsidR="00ED3A81" w:rsidRDefault="00713ED6" w:rsidP="0089397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учебно-производственной и учебной работе</w:t>
            </w:r>
          </w:p>
          <w:p w14:paraId="6DC6579C" w14:textId="77777777" w:rsidR="00ED3A81" w:rsidRPr="0089397B" w:rsidRDefault="00ED3A81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14:paraId="51F99279" w14:textId="1E719E35" w:rsidR="007C55AD" w:rsidRDefault="00ED3A81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</w:t>
            </w:r>
            <w:r w:rsidR="00C66F5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Каргулев</w:t>
            </w:r>
          </w:p>
          <w:p w14:paraId="6E74FB87" w14:textId="77777777"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26680" w14:textId="77777777"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14:paraId="40830B1A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14:paraId="7E4DACAC" w14:textId="77777777"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14:paraId="04E64696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14:paraId="11ABD601" w14:textId="77777777" w:rsidTr="003D12CE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57B3B3F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39CBD79" w14:textId="77777777"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D9FC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3E876072" w14:textId="77777777"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6A8BD65E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4C2FA4FD" w14:textId="77777777" w:rsidTr="003D12CE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083D8F87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CB7D322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B95D1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14:paraId="6A1F644A" w14:textId="77777777"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1576457" w14:textId="77777777"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0B1484E" w14:textId="77777777"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14:paraId="028ECBA3" w14:textId="77777777" w:rsidTr="003D12CE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AD950C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DFCDE73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EBACB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980CF7F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DA4F522" w14:textId="77777777"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14:paraId="2C5CE375" w14:textId="77777777"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7FC493D2" w14:textId="77777777" w:rsidTr="003D12CE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B26CE4F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AC578FA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EFC37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DDEAB51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325EF408" w14:textId="77777777"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14:paraId="6794BF46" w14:textId="77777777" w:rsidTr="003D12CE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367D2F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115AC0B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5F91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73E0B732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EE0F7F2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14:paraId="2A31AE73" w14:textId="77777777" w:rsidTr="003D12CE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07AE1C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5339696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4BA6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710E1CE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3DB37F91" w14:textId="77777777"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14:paraId="0A8E6173" w14:textId="77777777" w:rsidTr="003D12CE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EFE444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B8E0ABF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F08A4" w14:textId="77777777"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43B71D2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778A2A86" w14:textId="77777777"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14:paraId="6028FA18" w14:textId="77777777" w:rsidTr="003D12CE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133D3B8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F21F0E7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3AA9B" w14:textId="77777777"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2754CA3C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7ADF3609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3878F5F3" w14:textId="77777777" w:rsidTr="003D12CE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1F0F4A4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8A069CB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763D8" w14:textId="77777777"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F8E19CE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980C07D" w14:textId="77777777"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14:paraId="3B654E48" w14:textId="77777777"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14:paraId="19DD19CF" w14:textId="77777777" w:rsidTr="003D12CE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1380444C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AC8C2FE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D6AA2" w14:textId="77777777"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292092F5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1B28D21" w14:textId="77777777"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14:paraId="572AEC32" w14:textId="77777777" w:rsidTr="003D12CE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233E67A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C1DACB7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7AC85" w14:textId="77777777"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F221B18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A764B12" w14:textId="77777777"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14:paraId="7F25785E" w14:textId="77777777" w:rsidTr="003D12CE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24B4214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D6D052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B354E" w14:textId="77777777" w:rsidR="007C55AD" w:rsidRPr="00B81FC2" w:rsidRDefault="003B38DA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14:paraId="0DE8DB83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14:paraId="3939F2D4" w14:textId="77777777"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14:paraId="576FB62C" w14:textId="77777777" w:rsidTr="003D12CE">
        <w:trPr>
          <w:trHeight w:val="516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14:paraId="5B87A7AE" w14:textId="77777777"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7E38B006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5D302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433CE53E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14:paraId="12335C7C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73AC8781" w14:textId="0F4666C7" w:rsidR="00ED3A81" w:rsidRPr="003F6EB8" w:rsidRDefault="00AB3066" w:rsidP="00ED3A81">
      <w:pPr>
        <w:jc w:val="both"/>
        <w:rPr>
          <w:rFonts w:eastAsia="Calibri" w:cs="Times New Roman"/>
          <w:color w:val="FFFFFF" w:themeColor="background1"/>
          <w:sz w:val="24"/>
          <w:szCs w:val="24"/>
        </w:rPr>
      </w:pPr>
      <w:r w:rsidRPr="003F6EB8">
        <w:rPr>
          <w:rFonts w:eastAsia="Calibri" w:cs="Times New Roman"/>
          <w:color w:val="FFFFFF" w:themeColor="background1"/>
          <w:sz w:val="24"/>
          <w:szCs w:val="24"/>
        </w:rPr>
        <w:t>Начальник уче</w:t>
      </w:r>
      <w:r w:rsidR="00FC51D1" w:rsidRPr="003F6EB8">
        <w:rPr>
          <w:rFonts w:eastAsia="Calibri" w:cs="Times New Roman"/>
          <w:color w:val="FFFFFF" w:themeColor="background1"/>
          <w:sz w:val="24"/>
          <w:szCs w:val="24"/>
        </w:rPr>
        <w:t>б</w:t>
      </w:r>
      <w:r w:rsidRPr="003F6EB8">
        <w:rPr>
          <w:rFonts w:eastAsia="Calibri" w:cs="Times New Roman"/>
          <w:color w:val="FFFFFF" w:themeColor="background1"/>
          <w:sz w:val="24"/>
          <w:szCs w:val="24"/>
        </w:rPr>
        <w:t>ной части</w:t>
      </w:r>
      <w:r w:rsidRPr="003F6EB8">
        <w:rPr>
          <w:rFonts w:eastAsia="Calibri" w:cs="Times New Roman"/>
          <w:color w:val="FFFFFF" w:themeColor="background1"/>
          <w:sz w:val="24"/>
          <w:szCs w:val="24"/>
        </w:rPr>
        <w:tab/>
      </w:r>
    </w:p>
    <w:p w14:paraId="3CD751AE" w14:textId="38A82621" w:rsidR="001316AD" w:rsidRPr="003F6EB8" w:rsidRDefault="001316AD" w:rsidP="00FC51D1">
      <w:pPr>
        <w:ind w:left="708" w:hanging="708"/>
        <w:jc w:val="both"/>
        <w:rPr>
          <w:rFonts w:eastAsia="Calibri" w:cs="Times New Roman"/>
          <w:color w:val="FFFFFF" w:themeColor="background1"/>
          <w:sz w:val="24"/>
          <w:szCs w:val="24"/>
        </w:rPr>
      </w:pPr>
    </w:p>
    <w:sectPr w:rsidR="001316AD" w:rsidRPr="003F6EB8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662D6" w14:textId="77777777" w:rsidR="00E55E7A" w:rsidRDefault="00E55E7A" w:rsidP="00FB6A06">
      <w:r>
        <w:separator/>
      </w:r>
    </w:p>
  </w:endnote>
  <w:endnote w:type="continuationSeparator" w:id="0">
    <w:p w14:paraId="0111A03F" w14:textId="77777777" w:rsidR="00E55E7A" w:rsidRDefault="00E55E7A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6A776" w14:textId="77777777" w:rsidR="00E55E7A" w:rsidRDefault="00E55E7A" w:rsidP="00FB6A06">
      <w:r>
        <w:separator/>
      </w:r>
    </w:p>
  </w:footnote>
  <w:footnote w:type="continuationSeparator" w:id="0">
    <w:p w14:paraId="73DC3924" w14:textId="77777777" w:rsidR="00E55E7A" w:rsidRDefault="00E55E7A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64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50DF7E" w14:textId="43B6EE09" w:rsidR="00044FFB" w:rsidRPr="003033E3" w:rsidRDefault="00044FFB" w:rsidP="003033E3">
        <w:pPr>
          <w:pStyle w:val="afb"/>
          <w:jc w:val="center"/>
          <w:rPr>
            <w:sz w:val="24"/>
            <w:szCs w:val="24"/>
          </w:rPr>
        </w:pPr>
        <w:r w:rsidRPr="003033E3">
          <w:rPr>
            <w:sz w:val="24"/>
            <w:szCs w:val="24"/>
          </w:rPr>
          <w:fldChar w:fldCharType="begin"/>
        </w:r>
        <w:r w:rsidRPr="003033E3">
          <w:rPr>
            <w:sz w:val="24"/>
            <w:szCs w:val="24"/>
          </w:rPr>
          <w:instrText>PAGE   \* MERGEFORMAT</w:instrText>
        </w:r>
        <w:r w:rsidRPr="003033E3">
          <w:rPr>
            <w:sz w:val="24"/>
            <w:szCs w:val="24"/>
          </w:rPr>
          <w:fldChar w:fldCharType="separate"/>
        </w:r>
        <w:r w:rsidR="00EA32ED">
          <w:rPr>
            <w:noProof/>
            <w:sz w:val="24"/>
            <w:szCs w:val="24"/>
          </w:rPr>
          <w:t>2</w:t>
        </w:r>
        <w:r w:rsidRPr="003033E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62476"/>
    <w:rsid w:val="0008316E"/>
    <w:rsid w:val="000A1F1A"/>
    <w:rsid w:val="000A4457"/>
    <w:rsid w:val="000B2C81"/>
    <w:rsid w:val="000C3E4A"/>
    <w:rsid w:val="000E1323"/>
    <w:rsid w:val="000E474B"/>
    <w:rsid w:val="000F183C"/>
    <w:rsid w:val="00104C25"/>
    <w:rsid w:val="001074DC"/>
    <w:rsid w:val="00112642"/>
    <w:rsid w:val="00112A53"/>
    <w:rsid w:val="00125481"/>
    <w:rsid w:val="001316AD"/>
    <w:rsid w:val="00132F8B"/>
    <w:rsid w:val="00136E92"/>
    <w:rsid w:val="00143189"/>
    <w:rsid w:val="00163CCC"/>
    <w:rsid w:val="001668B6"/>
    <w:rsid w:val="0017382C"/>
    <w:rsid w:val="00181C49"/>
    <w:rsid w:val="001830D0"/>
    <w:rsid w:val="001A51D9"/>
    <w:rsid w:val="001C03BF"/>
    <w:rsid w:val="001D0DD6"/>
    <w:rsid w:val="001F7BAA"/>
    <w:rsid w:val="00200607"/>
    <w:rsid w:val="00234046"/>
    <w:rsid w:val="002603D7"/>
    <w:rsid w:val="0026103B"/>
    <w:rsid w:val="002631AA"/>
    <w:rsid w:val="00264D3A"/>
    <w:rsid w:val="00270E97"/>
    <w:rsid w:val="00273E07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3033E3"/>
    <w:rsid w:val="003059CD"/>
    <w:rsid w:val="00305DFD"/>
    <w:rsid w:val="00310291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183B"/>
    <w:rsid w:val="00394A3B"/>
    <w:rsid w:val="003A6E8D"/>
    <w:rsid w:val="003B0A89"/>
    <w:rsid w:val="003B38DA"/>
    <w:rsid w:val="003C75B9"/>
    <w:rsid w:val="003D12CE"/>
    <w:rsid w:val="003D730E"/>
    <w:rsid w:val="003F6EB8"/>
    <w:rsid w:val="00402E81"/>
    <w:rsid w:val="004101D9"/>
    <w:rsid w:val="00433F9D"/>
    <w:rsid w:val="004340E2"/>
    <w:rsid w:val="00446482"/>
    <w:rsid w:val="00453B9E"/>
    <w:rsid w:val="00461271"/>
    <w:rsid w:val="00465212"/>
    <w:rsid w:val="00467D0C"/>
    <w:rsid w:val="00473D1E"/>
    <w:rsid w:val="004A1DC6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C72B4"/>
    <w:rsid w:val="005D60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80CBE"/>
    <w:rsid w:val="006B46C2"/>
    <w:rsid w:val="006C00AC"/>
    <w:rsid w:val="006C3F2A"/>
    <w:rsid w:val="006D5CAE"/>
    <w:rsid w:val="006F1914"/>
    <w:rsid w:val="0070164A"/>
    <w:rsid w:val="00713ED6"/>
    <w:rsid w:val="00725B55"/>
    <w:rsid w:val="00745300"/>
    <w:rsid w:val="007508C9"/>
    <w:rsid w:val="00753EF8"/>
    <w:rsid w:val="007552C9"/>
    <w:rsid w:val="00760186"/>
    <w:rsid w:val="007A3D27"/>
    <w:rsid w:val="007A5942"/>
    <w:rsid w:val="007A7499"/>
    <w:rsid w:val="007B04BD"/>
    <w:rsid w:val="007B1C6B"/>
    <w:rsid w:val="007B2DB2"/>
    <w:rsid w:val="007C55AD"/>
    <w:rsid w:val="007E4F35"/>
    <w:rsid w:val="00805970"/>
    <w:rsid w:val="00806C67"/>
    <w:rsid w:val="00822DCD"/>
    <w:rsid w:val="0082363F"/>
    <w:rsid w:val="00831274"/>
    <w:rsid w:val="00837670"/>
    <w:rsid w:val="008668CE"/>
    <w:rsid w:val="008818D6"/>
    <w:rsid w:val="00883871"/>
    <w:rsid w:val="0089397B"/>
    <w:rsid w:val="0089471A"/>
    <w:rsid w:val="00894823"/>
    <w:rsid w:val="00895CE1"/>
    <w:rsid w:val="008A668D"/>
    <w:rsid w:val="008C0630"/>
    <w:rsid w:val="008D341B"/>
    <w:rsid w:val="008E7789"/>
    <w:rsid w:val="00910D8D"/>
    <w:rsid w:val="0092501A"/>
    <w:rsid w:val="0094201B"/>
    <w:rsid w:val="009423DE"/>
    <w:rsid w:val="00962DDE"/>
    <w:rsid w:val="00977F43"/>
    <w:rsid w:val="009842CE"/>
    <w:rsid w:val="00985F59"/>
    <w:rsid w:val="009A35F9"/>
    <w:rsid w:val="009C60AB"/>
    <w:rsid w:val="009D66AE"/>
    <w:rsid w:val="00A04CCA"/>
    <w:rsid w:val="00A05983"/>
    <w:rsid w:val="00A0691F"/>
    <w:rsid w:val="00A10B5D"/>
    <w:rsid w:val="00A1360C"/>
    <w:rsid w:val="00A1586D"/>
    <w:rsid w:val="00A3681E"/>
    <w:rsid w:val="00A413C9"/>
    <w:rsid w:val="00A44B6C"/>
    <w:rsid w:val="00A44BD7"/>
    <w:rsid w:val="00A47952"/>
    <w:rsid w:val="00A57614"/>
    <w:rsid w:val="00A57F96"/>
    <w:rsid w:val="00A75C76"/>
    <w:rsid w:val="00A7751A"/>
    <w:rsid w:val="00A867C9"/>
    <w:rsid w:val="00A9191D"/>
    <w:rsid w:val="00A95A9B"/>
    <w:rsid w:val="00AA5159"/>
    <w:rsid w:val="00AB3066"/>
    <w:rsid w:val="00AC68C7"/>
    <w:rsid w:val="00AD1F48"/>
    <w:rsid w:val="00AD2E2D"/>
    <w:rsid w:val="00AE371E"/>
    <w:rsid w:val="00B32683"/>
    <w:rsid w:val="00B340D4"/>
    <w:rsid w:val="00B5589A"/>
    <w:rsid w:val="00B64119"/>
    <w:rsid w:val="00BA316D"/>
    <w:rsid w:val="00BA3235"/>
    <w:rsid w:val="00BA4B59"/>
    <w:rsid w:val="00BB2138"/>
    <w:rsid w:val="00BB2CA6"/>
    <w:rsid w:val="00BB4AFD"/>
    <w:rsid w:val="00BC2FFA"/>
    <w:rsid w:val="00BC58F0"/>
    <w:rsid w:val="00BD48D8"/>
    <w:rsid w:val="00BE128A"/>
    <w:rsid w:val="00C206A5"/>
    <w:rsid w:val="00C2553C"/>
    <w:rsid w:val="00C27FF0"/>
    <w:rsid w:val="00C635D5"/>
    <w:rsid w:val="00C66F5D"/>
    <w:rsid w:val="00C743E9"/>
    <w:rsid w:val="00C80E98"/>
    <w:rsid w:val="00C8266C"/>
    <w:rsid w:val="00C92630"/>
    <w:rsid w:val="00CA15DD"/>
    <w:rsid w:val="00CA2204"/>
    <w:rsid w:val="00CB124F"/>
    <w:rsid w:val="00CE1CB9"/>
    <w:rsid w:val="00CE5AF8"/>
    <w:rsid w:val="00D064BD"/>
    <w:rsid w:val="00D20615"/>
    <w:rsid w:val="00D3774E"/>
    <w:rsid w:val="00D567E2"/>
    <w:rsid w:val="00D5772F"/>
    <w:rsid w:val="00D63844"/>
    <w:rsid w:val="00D7476B"/>
    <w:rsid w:val="00DA7FA6"/>
    <w:rsid w:val="00DB5025"/>
    <w:rsid w:val="00DC09F9"/>
    <w:rsid w:val="00DC177D"/>
    <w:rsid w:val="00DC6E2D"/>
    <w:rsid w:val="00DD79C1"/>
    <w:rsid w:val="00DE4EEB"/>
    <w:rsid w:val="00DF3F18"/>
    <w:rsid w:val="00E14312"/>
    <w:rsid w:val="00E1730E"/>
    <w:rsid w:val="00E250C7"/>
    <w:rsid w:val="00E30A75"/>
    <w:rsid w:val="00E43907"/>
    <w:rsid w:val="00E462A4"/>
    <w:rsid w:val="00E55E7A"/>
    <w:rsid w:val="00E75BA3"/>
    <w:rsid w:val="00E76542"/>
    <w:rsid w:val="00E908E6"/>
    <w:rsid w:val="00EA32ED"/>
    <w:rsid w:val="00EA7D19"/>
    <w:rsid w:val="00EB55CD"/>
    <w:rsid w:val="00ED3A81"/>
    <w:rsid w:val="00EE575E"/>
    <w:rsid w:val="00EE6C00"/>
    <w:rsid w:val="00EF422B"/>
    <w:rsid w:val="00EF6A95"/>
    <w:rsid w:val="00F14C8A"/>
    <w:rsid w:val="00F1619D"/>
    <w:rsid w:val="00F30232"/>
    <w:rsid w:val="00F35CD4"/>
    <w:rsid w:val="00F452A2"/>
    <w:rsid w:val="00F4799F"/>
    <w:rsid w:val="00F6799E"/>
    <w:rsid w:val="00F71318"/>
    <w:rsid w:val="00F91208"/>
    <w:rsid w:val="00FA036D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517B16"/>
  <w15:docId w15:val="{A0D3D1C4-66D9-49E6-BBE9-7EB994BC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2B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70A1-D62C-45C8-AEC9-0E620920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3</cp:revision>
  <cp:lastPrinted>2025-10-20T06:02:00Z</cp:lastPrinted>
  <dcterms:created xsi:type="dcterms:W3CDTF">2026-02-04T14:11:00Z</dcterms:created>
  <dcterms:modified xsi:type="dcterms:W3CDTF">2026-02-12T13:33:00Z</dcterms:modified>
</cp:coreProperties>
</file>