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B495" w14:textId="77777777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="001C449C">
        <w:rPr>
          <w:rFonts w:eastAsia="DengXian" w:cs="Times New Roman"/>
          <w:bCs/>
          <w:sz w:val="24"/>
          <w:szCs w:val="24"/>
          <w:lang w:eastAsia="ru-RU"/>
        </w:rPr>
        <w:t xml:space="preserve"> </w:t>
      </w:r>
      <w:r w:rsidR="002C1882">
        <w:rPr>
          <w:rFonts w:eastAsia="DengXian" w:cs="Times New Roman"/>
          <w:bCs/>
          <w:sz w:val="24"/>
          <w:szCs w:val="24"/>
          <w:lang w:val="be-BY" w:eastAsia="ru-RU"/>
        </w:rPr>
        <w:t>1</w:t>
      </w:r>
      <w:r w:rsidR="00C71F34">
        <w:rPr>
          <w:rFonts w:eastAsia="DengXian" w:cs="Times New Roman"/>
          <w:bCs/>
          <w:sz w:val="24"/>
          <w:szCs w:val="24"/>
          <w:lang w:val="be-BY" w:eastAsia="ru-RU"/>
        </w:rPr>
        <w:t>25</w:t>
      </w:r>
      <w:r w:rsidR="00095CF3">
        <w:rPr>
          <w:rFonts w:eastAsia="DengXian" w:cs="Times New Roman"/>
          <w:bCs/>
          <w:sz w:val="24"/>
          <w:szCs w:val="24"/>
          <w:lang w:val="be-BY" w:eastAsia="ru-RU"/>
        </w:rPr>
        <w:t>-06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14:paraId="0DF19D6F" w14:textId="77777777"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093174FB" w14:textId="77777777" w:rsidR="005335DD" w:rsidRDefault="002C1882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16</w:t>
      </w:r>
      <w:r w:rsidR="00095CF3">
        <w:rPr>
          <w:rFonts w:eastAsia="DengXian" w:cs="Times New Roman"/>
          <w:sz w:val="24"/>
          <w:szCs w:val="24"/>
          <w:lang w:val="be-BY" w:eastAsia="ru-RU"/>
        </w:rPr>
        <w:t xml:space="preserve"> июня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EE6C00">
        <w:rPr>
          <w:rFonts w:eastAsia="DengXian" w:cs="Times New Roman"/>
          <w:sz w:val="24"/>
          <w:szCs w:val="24"/>
          <w:lang w:eastAsia="ru-RU"/>
        </w:rPr>
        <w:t>20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25 </w:t>
      </w:r>
      <w:r w:rsidR="00EE6C00">
        <w:rPr>
          <w:rFonts w:eastAsia="DengXian" w:cs="Times New Roman"/>
          <w:sz w:val="24"/>
          <w:szCs w:val="24"/>
          <w:lang w:eastAsia="ru-RU"/>
        </w:rPr>
        <w:t>г.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496189DD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3DF2C478" w14:textId="77777777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2567F9A0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20E03449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5442A118" w14:textId="77777777"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14:paraId="1B2B07FD" w14:textId="77777777"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5CDE2876" w14:textId="77777777"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14:paraId="51C30F82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4336C37F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26F6ADB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6073F3E4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5B604F9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18D92A12" w14:textId="77777777"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DC2E61">
        <w:rPr>
          <w:rFonts w:eastAsia="DengXian" w:cs="Times New Roman"/>
          <w:sz w:val="24"/>
          <w:szCs w:val="24"/>
          <w:lang w:eastAsia="ru-RU"/>
        </w:rPr>
        <w:t>обучающих курсов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3F6EB8">
        <w:rPr>
          <w:rFonts w:eastAsia="DengXian" w:cs="Times New Roman"/>
          <w:sz w:val="24"/>
          <w:szCs w:val="24"/>
          <w:lang w:eastAsia="ru-RU"/>
        </w:rPr>
        <w:t>Цифровизация отрасли лесного хозяйства в Республике Беларусь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14:paraId="5E2FB773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679D987B" w14:textId="77777777"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DC2E61">
        <w:rPr>
          <w:rFonts w:eastAsia="DengXian" w:cs="Times New Roman"/>
          <w:sz w:val="24"/>
          <w:szCs w:val="24"/>
          <w:lang w:eastAsia="ru-RU"/>
        </w:rPr>
        <w:t>34 часа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23EFA17E" w14:textId="77777777" w:rsidR="0070164A" w:rsidRPr="00985F59" w:rsidRDefault="00883871" w:rsidP="001316A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14:paraId="3B132D73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2C1882">
        <w:rPr>
          <w:rFonts w:eastAsia="DengXian" w:cs="Times New Roman"/>
          <w:sz w:val="24"/>
          <w:szCs w:val="24"/>
          <w:lang w:eastAsia="ru-RU"/>
        </w:rPr>
        <w:t>16</w:t>
      </w:r>
      <w:r w:rsidR="00095CF3">
        <w:rPr>
          <w:rFonts w:eastAsia="DengXian" w:cs="Times New Roman"/>
          <w:sz w:val="24"/>
          <w:szCs w:val="24"/>
          <w:lang w:eastAsia="ru-RU"/>
        </w:rPr>
        <w:t>.06</w:t>
      </w:r>
      <w:r w:rsidR="00554447">
        <w:rPr>
          <w:rFonts w:eastAsia="DengXian" w:cs="Times New Roman"/>
          <w:sz w:val="24"/>
          <w:szCs w:val="24"/>
          <w:lang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9C363F9" w14:textId="77777777"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</w:t>
      </w:r>
      <w:r w:rsidR="00265D5F">
        <w:rPr>
          <w:rFonts w:eastAsia="DengXian" w:cs="Times New Roman"/>
          <w:sz w:val="24"/>
          <w:szCs w:val="24"/>
          <w:lang w:eastAsia="ru-RU"/>
        </w:rPr>
        <w:t>9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Стоимость обучения утверждается приказом руководителя Исполнителя и на момент заключения настоящего договора составляет </w:t>
      </w:r>
      <w:r w:rsidR="00DC2E61">
        <w:rPr>
          <w:rFonts w:eastAsia="DengXian" w:cs="Times New Roman"/>
          <w:sz w:val="24"/>
          <w:szCs w:val="24"/>
          <w:lang w:eastAsia="ru-RU"/>
        </w:rPr>
        <w:t>278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DC2E61">
        <w:rPr>
          <w:rFonts w:eastAsia="DengXian" w:cs="Times New Roman"/>
          <w:sz w:val="24"/>
          <w:szCs w:val="24"/>
          <w:lang w:eastAsia="ru-RU"/>
        </w:rPr>
        <w:t>двести семьдесят восемь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DC2E61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07DF4770" w14:textId="77777777"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1BC45075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554F57E4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5FEBB94A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1304890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645C9FBE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14:paraId="5069175C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6AB20E5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4BDE263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246C94F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749BE68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1BE6B8B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7D49BE1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110D6DB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4B37C44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3572933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0787802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744B13D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7F45964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2BA39E1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3EF42F38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 xml:space="preserve">.3. Заказчик несет ответственность перед Исполнителем за причинение вреда имуществу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>Исполнителя в соответствии с законодательством.</w:t>
      </w:r>
    </w:p>
    <w:p w14:paraId="38C45BE6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6006574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6E4E2423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46CD568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4E7CCCE9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24CDE103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093DE5D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26A63F7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52DDAF7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1DA05B85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2BE3AC26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584FF56F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0E87960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0293DAF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7D45288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613180BD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4324C99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7555C9FE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7732FAF3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238"/>
        <w:gridCol w:w="3442"/>
        <w:gridCol w:w="238"/>
        <w:gridCol w:w="3394"/>
      </w:tblGrid>
      <w:tr w:rsidR="007C55AD" w14:paraId="4790556C" w14:textId="77777777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14:paraId="79D228D8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0E75EE51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5D44590A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2218B6A4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29237B89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5146F4F6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2A305211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14:paraId="1AC921B5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311ED3D4" w14:textId="77777777" w:rsidR="007C55AD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В.А.Гончаров</w:t>
            </w:r>
          </w:p>
          <w:p w14:paraId="06B132E7" w14:textId="77777777"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FA74F3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14:paraId="61656E7C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14:paraId="0B4C6D95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14:paraId="0E149B23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74C89375" w14:textId="77777777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0729E38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D0B97D3" w14:textId="77777777" w:rsidR="007C55AD" w:rsidRPr="00933585" w:rsidRDefault="007C55AD" w:rsidP="00981FA9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C604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6B97647A" w14:textId="77777777" w:rsidR="007C55AD" w:rsidRPr="00933585" w:rsidRDefault="007C55AD" w:rsidP="00981FA9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29F69BE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2A57E975" w14:textId="77777777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4DCDF0D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9CE2A2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F5717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5AACD91B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3411D326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2ADE39B0" w14:textId="77777777"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14:paraId="6A498764" w14:textId="77777777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09A4032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41993E1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B1F18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0F4950B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620678BF" w14:textId="77777777"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14:paraId="2D53289B" w14:textId="77777777"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162C3D40" w14:textId="77777777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21DBF34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E11A100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A302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7FF70A82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435B071A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14:paraId="6E53FE7F" w14:textId="77777777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3A367AB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70DCC37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033B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50ADF117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3C06DCD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69C8347A" w14:textId="77777777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275743C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9CFE3A9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DB75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014F627F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5D82461A" w14:textId="77777777"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14:paraId="44FDCFE3" w14:textId="77777777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40921A3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00581E8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582C4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218658BF" w14:textId="77777777"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3A074C10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4F64BD58" w14:textId="77777777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581D1BA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FBA5D29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4CE07" w14:textId="77777777"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76B0BE2D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757CCA2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33CCA5CF" w14:textId="77777777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66C0BE3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B4D6D38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3A3C8" w14:textId="77777777"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6D8F1076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247772C9" w14:textId="77777777"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14:paraId="157B3C80" w14:textId="77777777"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14:paraId="3B3D1491" w14:textId="77777777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4D01CF9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985A214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7CB61" w14:textId="77777777"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1E323A95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07FE20CD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320FF4BD" w14:textId="77777777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14:paraId="314ACC1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D83E718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556AA" w14:textId="77777777"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14:paraId="471A9485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14:paraId="61C08735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6BF16FC3" w14:textId="77777777" w:rsidTr="0062095E">
        <w:trPr>
          <w:trHeight w:val="516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292CD37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BA8B00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34D01" w14:textId="77777777" w:rsidR="007C55AD" w:rsidRPr="00B81FC2" w:rsidRDefault="003B38DA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14:paraId="045DD637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14:paraId="1EEFADF6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7BA8E1C7" w14:textId="77777777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14:paraId="28596AED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0967CCE9" w14:textId="77777777"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CACB5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42EA8015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14:paraId="394087DC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18EA8DD9" w14:textId="55CAA662" w:rsidR="007C3545" w:rsidRPr="008F16C1" w:rsidRDefault="008F16C1" w:rsidP="00C71F34">
      <w:pPr>
        <w:jc w:val="both"/>
        <w:rPr>
          <w:rFonts w:eastAsia="Calibri" w:cs="Times New Roman"/>
          <w:color w:val="FFFFFF" w:themeColor="background1"/>
          <w:sz w:val="22"/>
        </w:rPr>
      </w:pPr>
      <w:r w:rsidRPr="008F16C1">
        <w:rPr>
          <w:rFonts w:eastAsia="Calibri" w:cs="Times New Roman"/>
          <w:color w:val="FFFFFF" w:themeColor="background1"/>
          <w:sz w:val="22"/>
        </w:rPr>
        <w:t>Специалист</w:t>
      </w:r>
      <w:r w:rsidR="00AB3066" w:rsidRPr="008F16C1">
        <w:rPr>
          <w:rFonts w:eastAsia="Calibri" w:cs="Times New Roman"/>
          <w:color w:val="FFFFFF" w:themeColor="background1"/>
          <w:sz w:val="22"/>
        </w:rPr>
        <w:t xml:space="preserve"> уче</w:t>
      </w:r>
      <w:r w:rsidR="00FC51D1" w:rsidRPr="008F16C1">
        <w:rPr>
          <w:rFonts w:eastAsia="Calibri" w:cs="Times New Roman"/>
          <w:color w:val="FFFFFF" w:themeColor="background1"/>
          <w:sz w:val="22"/>
        </w:rPr>
        <w:t>б</w:t>
      </w:r>
      <w:r w:rsidR="00AB3066" w:rsidRPr="008F16C1">
        <w:rPr>
          <w:rFonts w:eastAsia="Calibri" w:cs="Times New Roman"/>
          <w:color w:val="FFFFFF" w:themeColor="background1"/>
          <w:sz w:val="22"/>
        </w:rPr>
        <w:t>ной части</w:t>
      </w:r>
      <w:r w:rsidR="00AB3066" w:rsidRPr="008F16C1">
        <w:rPr>
          <w:rFonts w:eastAsia="Calibri" w:cs="Times New Roman"/>
          <w:color w:val="FFFFFF" w:themeColor="background1"/>
          <w:sz w:val="22"/>
        </w:rPr>
        <w:tab/>
      </w:r>
      <w:r w:rsidR="00AB3066" w:rsidRPr="008F16C1">
        <w:rPr>
          <w:rFonts w:eastAsia="Calibri" w:cs="Times New Roman"/>
          <w:color w:val="FFFFFF" w:themeColor="background1"/>
          <w:sz w:val="22"/>
        </w:rPr>
        <w:tab/>
      </w:r>
      <w:r w:rsidR="00AB3066" w:rsidRPr="008F16C1">
        <w:rPr>
          <w:rFonts w:eastAsia="Calibri" w:cs="Times New Roman"/>
          <w:color w:val="FFFFFF" w:themeColor="background1"/>
          <w:sz w:val="22"/>
        </w:rPr>
        <w:tab/>
      </w:r>
      <w:proofErr w:type="spellStart"/>
      <w:r w:rsidRPr="008F16C1">
        <w:rPr>
          <w:rFonts w:eastAsia="Calibri" w:cs="Times New Roman"/>
          <w:color w:val="FFFFFF" w:themeColor="background1"/>
          <w:sz w:val="22"/>
        </w:rPr>
        <w:t>М.В.Янковский</w:t>
      </w:r>
      <w:proofErr w:type="spellEnd"/>
      <w:r w:rsidR="00084830" w:rsidRPr="008F16C1">
        <w:rPr>
          <w:rFonts w:eastAsia="Calibri" w:cs="Times New Roman"/>
          <w:color w:val="FFFFFF" w:themeColor="background1"/>
          <w:sz w:val="22"/>
        </w:rPr>
        <w:tab/>
      </w:r>
      <w:r w:rsidRPr="008F16C1">
        <w:rPr>
          <w:rFonts w:eastAsia="Calibri" w:cs="Times New Roman"/>
          <w:color w:val="FFFFFF" w:themeColor="background1"/>
          <w:sz w:val="22"/>
        </w:rPr>
        <w:t>Методист</w:t>
      </w:r>
      <w:r w:rsidR="00084830" w:rsidRPr="008F16C1">
        <w:rPr>
          <w:rFonts w:eastAsia="Calibri" w:cs="Times New Roman"/>
          <w:color w:val="FFFFFF" w:themeColor="background1"/>
          <w:sz w:val="22"/>
        </w:rPr>
        <w:tab/>
      </w:r>
      <w:r w:rsidR="00084830" w:rsidRPr="008F16C1">
        <w:rPr>
          <w:rFonts w:eastAsia="Calibri" w:cs="Times New Roman"/>
          <w:color w:val="FFFFFF" w:themeColor="background1"/>
          <w:sz w:val="22"/>
        </w:rPr>
        <w:tab/>
        <w:t xml:space="preserve">          </w:t>
      </w:r>
      <w:proofErr w:type="spellStart"/>
      <w:r w:rsidR="00084830" w:rsidRPr="008F16C1">
        <w:rPr>
          <w:rFonts w:eastAsia="Calibri" w:cs="Times New Roman"/>
          <w:color w:val="FFFFFF" w:themeColor="background1"/>
          <w:sz w:val="22"/>
        </w:rPr>
        <w:t>Е.Г.Шубк</w:t>
      </w:r>
      <w:r w:rsidRPr="008F16C1">
        <w:rPr>
          <w:rFonts w:eastAsia="Calibri" w:cs="Times New Roman"/>
          <w:color w:val="FFFFFF" w:themeColor="background1"/>
          <w:sz w:val="22"/>
        </w:rPr>
        <w:t>о</w:t>
      </w:r>
      <w:proofErr w:type="spellEnd"/>
    </w:p>
    <w:sectPr w:rsidR="007C3545" w:rsidRPr="008F16C1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2928" w14:textId="77777777" w:rsidR="005C72B4" w:rsidRDefault="005C72B4" w:rsidP="00FB6A06">
      <w:r>
        <w:separator/>
      </w:r>
    </w:p>
  </w:endnote>
  <w:endnote w:type="continuationSeparator" w:id="0">
    <w:p w14:paraId="423EDB74" w14:textId="77777777"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8FBA" w14:textId="77777777" w:rsidR="005C72B4" w:rsidRDefault="005C72B4" w:rsidP="00FB6A06">
      <w:r>
        <w:separator/>
      </w:r>
    </w:p>
  </w:footnote>
  <w:footnote w:type="continuationSeparator" w:id="0">
    <w:p w14:paraId="7241C682" w14:textId="77777777"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86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F49CFC4" w14:textId="77777777" w:rsidR="00044FFB" w:rsidRPr="003033E3" w:rsidRDefault="007B3F18" w:rsidP="003033E3">
        <w:pPr>
          <w:pStyle w:val="afb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="00044FFB"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C71F34">
          <w:rPr>
            <w:noProof/>
            <w:sz w:val="24"/>
            <w:szCs w:val="24"/>
          </w:rPr>
          <w:t>2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274"/>
    <w:rsid w:val="00010177"/>
    <w:rsid w:val="00022DF1"/>
    <w:rsid w:val="00032568"/>
    <w:rsid w:val="00044FFB"/>
    <w:rsid w:val="0008316E"/>
    <w:rsid w:val="00084830"/>
    <w:rsid w:val="00085F30"/>
    <w:rsid w:val="00095CF3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C449C"/>
    <w:rsid w:val="001D0DD6"/>
    <w:rsid w:val="001F7BAA"/>
    <w:rsid w:val="00200607"/>
    <w:rsid w:val="00234046"/>
    <w:rsid w:val="002603D7"/>
    <w:rsid w:val="0026103B"/>
    <w:rsid w:val="002631AA"/>
    <w:rsid w:val="00264D3A"/>
    <w:rsid w:val="00265D5F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C1882"/>
    <w:rsid w:val="002D3540"/>
    <w:rsid w:val="002E04E4"/>
    <w:rsid w:val="002E53F4"/>
    <w:rsid w:val="003033E3"/>
    <w:rsid w:val="003059CD"/>
    <w:rsid w:val="00305DFD"/>
    <w:rsid w:val="00310291"/>
    <w:rsid w:val="003210AC"/>
    <w:rsid w:val="0032201F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3F6EB8"/>
    <w:rsid w:val="00402E81"/>
    <w:rsid w:val="004101D9"/>
    <w:rsid w:val="00433F9D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34583"/>
    <w:rsid w:val="007508C9"/>
    <w:rsid w:val="00753EF8"/>
    <w:rsid w:val="007552C9"/>
    <w:rsid w:val="00760186"/>
    <w:rsid w:val="007A3D27"/>
    <w:rsid w:val="007A5942"/>
    <w:rsid w:val="007A7499"/>
    <w:rsid w:val="007B04BD"/>
    <w:rsid w:val="007B1C6B"/>
    <w:rsid w:val="007B2DB2"/>
    <w:rsid w:val="007B3F18"/>
    <w:rsid w:val="007C3545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8F16C1"/>
    <w:rsid w:val="00910D8D"/>
    <w:rsid w:val="0092501A"/>
    <w:rsid w:val="0094201B"/>
    <w:rsid w:val="009423DE"/>
    <w:rsid w:val="00962DDE"/>
    <w:rsid w:val="00977F43"/>
    <w:rsid w:val="009842CE"/>
    <w:rsid w:val="00985F59"/>
    <w:rsid w:val="009A35F9"/>
    <w:rsid w:val="009C60AB"/>
    <w:rsid w:val="009D66AE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68E"/>
    <w:rsid w:val="00AD2E2D"/>
    <w:rsid w:val="00AE371E"/>
    <w:rsid w:val="00B32683"/>
    <w:rsid w:val="00B340D4"/>
    <w:rsid w:val="00B5589A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1F34"/>
    <w:rsid w:val="00C743E9"/>
    <w:rsid w:val="00C8266C"/>
    <w:rsid w:val="00C92630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2E61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B00602"/>
  <w15:docId w15:val="{94C9BC2D-B227-44BC-93E2-7A7C4F7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2B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594FA-B8AE-4A12-9862-04C9E653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2025-06-13T09:31:00Z</cp:lastPrinted>
  <dcterms:created xsi:type="dcterms:W3CDTF">2025-06-11T07:36:00Z</dcterms:created>
  <dcterms:modified xsi:type="dcterms:W3CDTF">2025-06-13T09:34:00Z</dcterms:modified>
</cp:coreProperties>
</file>